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095" w:rsidRDefault="003B4095" w:rsidP="003B4095">
      <w:pPr>
        <w:pStyle w:val="Standard"/>
        <w:spacing w:line="240" w:lineRule="auto"/>
        <w:jc w:val="center"/>
      </w:pPr>
      <w:r>
        <w:rPr>
          <w:rFonts w:ascii="Arial" w:hAnsi="Arial" w:cs="Arial"/>
          <w:b/>
          <w:sz w:val="24"/>
          <w:szCs w:val="24"/>
        </w:rPr>
        <w:t>Zarządzenie Nr 10/2015</w:t>
      </w:r>
      <w:r>
        <w:rPr>
          <w:rFonts w:ascii="Arial" w:hAnsi="Arial" w:cs="Arial"/>
          <w:b/>
          <w:sz w:val="24"/>
          <w:szCs w:val="24"/>
        </w:rPr>
        <w:br/>
        <w:t>Kierownika Dziennego Domu „Senior-Wigor”</w:t>
      </w:r>
      <w:r>
        <w:rPr>
          <w:rFonts w:ascii="Arial" w:hAnsi="Arial" w:cs="Arial"/>
          <w:b/>
          <w:sz w:val="24"/>
          <w:szCs w:val="24"/>
        </w:rPr>
        <w:br/>
      </w:r>
      <w:r>
        <w:rPr>
          <w:rFonts w:ascii="Arial" w:hAnsi="Arial" w:cs="Arial"/>
          <w:b/>
          <w:bCs/>
          <w:sz w:val="24"/>
          <w:szCs w:val="24"/>
        </w:rPr>
        <w:t>z dnia 14 grudnia 2015 roku</w:t>
      </w:r>
    </w:p>
    <w:p w:rsidR="003B4095" w:rsidRDefault="003B4095" w:rsidP="003B4095">
      <w:pPr>
        <w:pStyle w:val="Standard"/>
        <w:jc w:val="center"/>
      </w:pPr>
    </w:p>
    <w:p w:rsidR="003B4095" w:rsidRDefault="003B4095" w:rsidP="003B4095">
      <w:pPr>
        <w:pStyle w:val="Standard"/>
        <w:jc w:val="center"/>
      </w:pPr>
      <w:r>
        <w:rPr>
          <w:rFonts w:ascii="Arial" w:hAnsi="Arial" w:cs="Arial"/>
          <w:b/>
          <w:sz w:val="24"/>
          <w:szCs w:val="24"/>
        </w:rPr>
        <w:t>w sprawie procedur przyjmowania i rozpatrywania skarg i wniosków</w:t>
      </w:r>
    </w:p>
    <w:p w:rsidR="003B4095" w:rsidRDefault="003B4095" w:rsidP="003B4095">
      <w:pPr>
        <w:pStyle w:val="Standard"/>
        <w:rPr>
          <w:rFonts w:ascii="Arial" w:hAnsi="Arial" w:cs="Arial"/>
          <w:sz w:val="24"/>
          <w:szCs w:val="24"/>
        </w:rPr>
      </w:pPr>
    </w:p>
    <w:p w:rsidR="003B4095" w:rsidRDefault="003B4095" w:rsidP="003B4095">
      <w:pPr>
        <w:pStyle w:val="Standard"/>
        <w:jc w:val="both"/>
      </w:pPr>
      <w:r>
        <w:rPr>
          <w:rFonts w:ascii="Arial" w:hAnsi="Arial" w:cs="Arial"/>
          <w:sz w:val="24"/>
          <w:szCs w:val="24"/>
        </w:rPr>
        <w:t>Na podstawie: Ustawy z dnia 14 czerwca 1960 r. Kodeksu Postępowania Administracyjnego (tekst jednolity Dz. U. z dnia 30 stycznia 2013r, poz. 267) oraz Rozporządzenia Rady Ministrów z dnia 8 stycznia 2002r w sprawie organizacji, przyjmowania i rozpatrywania skarg i wniosków (Dz. U. z dnia 22 stycznia 2002r, nr 5, poz.46)</w:t>
      </w:r>
    </w:p>
    <w:p w:rsidR="003B4095" w:rsidRDefault="003B4095" w:rsidP="003B4095">
      <w:pPr>
        <w:pStyle w:val="Standard"/>
        <w:jc w:val="both"/>
      </w:pPr>
    </w:p>
    <w:p w:rsidR="003B4095" w:rsidRDefault="003B4095" w:rsidP="003B4095">
      <w:pPr>
        <w:pStyle w:val="Standard"/>
        <w:jc w:val="center"/>
      </w:pPr>
      <w:r>
        <w:rPr>
          <w:rFonts w:ascii="Arial" w:hAnsi="Arial" w:cs="Arial"/>
          <w:sz w:val="24"/>
          <w:szCs w:val="24"/>
        </w:rPr>
        <w:t>zarządzam:</w:t>
      </w:r>
    </w:p>
    <w:p w:rsidR="003B4095" w:rsidRDefault="003B4095" w:rsidP="003B4095">
      <w:pPr>
        <w:pStyle w:val="Akapitzlist"/>
        <w:ind w:left="0"/>
        <w:jc w:val="center"/>
        <w:rPr>
          <w:b/>
          <w:bCs/>
        </w:rPr>
      </w:pPr>
      <w:r>
        <w:rPr>
          <w:rFonts w:ascii="Arial" w:hAnsi="Arial" w:cs="Arial"/>
          <w:b/>
          <w:bCs/>
          <w:sz w:val="24"/>
          <w:szCs w:val="24"/>
        </w:rPr>
        <w:t>§ 1</w:t>
      </w:r>
    </w:p>
    <w:p w:rsidR="003B4095" w:rsidRDefault="003B4095" w:rsidP="003B4095">
      <w:pPr>
        <w:pStyle w:val="Akapitzlist"/>
        <w:ind w:left="0"/>
        <w:jc w:val="both"/>
      </w:pPr>
      <w:r>
        <w:rPr>
          <w:rFonts w:ascii="Arial" w:hAnsi="Arial" w:cs="Arial"/>
          <w:sz w:val="24"/>
          <w:szCs w:val="24"/>
        </w:rPr>
        <w:t xml:space="preserve">Wprowadza się do stosowania procedury przyjmowania i rozpatrywania skarg </w:t>
      </w:r>
      <w:r>
        <w:rPr>
          <w:rFonts w:ascii="Arial" w:hAnsi="Arial" w:cs="Arial"/>
          <w:sz w:val="24"/>
          <w:szCs w:val="24"/>
        </w:rPr>
        <w:br/>
        <w:t xml:space="preserve">i wniosków w Dziennym Domu „Senior–Wigor” w Sławkowie </w:t>
      </w:r>
      <w:r>
        <w:rPr>
          <w:rFonts w:ascii="Arial" w:hAnsi="Arial" w:cs="Arial"/>
          <w:sz w:val="26"/>
          <w:szCs w:val="26"/>
        </w:rPr>
        <w:t>w brzmieniu stanowiącym załącznik do zarządzenia</w:t>
      </w:r>
      <w:r>
        <w:rPr>
          <w:rFonts w:ascii="Arial" w:hAnsi="Arial" w:cs="Arial"/>
          <w:sz w:val="24"/>
          <w:szCs w:val="24"/>
        </w:rPr>
        <w:t>.</w:t>
      </w:r>
    </w:p>
    <w:p w:rsidR="003B4095" w:rsidRDefault="003B4095" w:rsidP="003B4095">
      <w:pPr>
        <w:pStyle w:val="Akapitzlist"/>
        <w:ind w:left="0"/>
        <w:jc w:val="center"/>
        <w:rPr>
          <w:b/>
          <w:bCs/>
        </w:rPr>
      </w:pPr>
      <w:r>
        <w:rPr>
          <w:rFonts w:ascii="Arial" w:hAnsi="Arial" w:cs="Arial"/>
          <w:b/>
          <w:bCs/>
          <w:sz w:val="24"/>
          <w:szCs w:val="24"/>
        </w:rPr>
        <w:t>§ 2</w:t>
      </w:r>
    </w:p>
    <w:p w:rsidR="003B4095" w:rsidRDefault="003B4095" w:rsidP="003B4095">
      <w:pPr>
        <w:pStyle w:val="Akapitzlist"/>
        <w:ind w:left="0"/>
        <w:jc w:val="both"/>
      </w:pPr>
      <w:r>
        <w:rPr>
          <w:rFonts w:ascii="Arial" w:hAnsi="Arial" w:cs="Arial"/>
          <w:sz w:val="24"/>
          <w:szCs w:val="24"/>
        </w:rPr>
        <w:t>Zarządzenie wchodzi w życie z dniem podpisania.</w:t>
      </w:r>
    </w:p>
    <w:p w:rsidR="003B4095" w:rsidRDefault="003B4095" w:rsidP="003B4095">
      <w:pPr>
        <w:pStyle w:val="Akapitzlist"/>
        <w:rPr>
          <w:rFonts w:ascii="Arial" w:hAnsi="Arial" w:cs="Arial"/>
          <w:sz w:val="24"/>
          <w:szCs w:val="24"/>
        </w:rPr>
      </w:pPr>
    </w:p>
    <w:p w:rsidR="003B4095" w:rsidRDefault="003B4095" w:rsidP="003B4095">
      <w:pPr>
        <w:pStyle w:val="Akapitzlist"/>
        <w:rPr>
          <w:rFonts w:ascii="Arial" w:hAnsi="Arial" w:cs="Arial"/>
          <w:sz w:val="24"/>
          <w:szCs w:val="24"/>
        </w:rPr>
      </w:pPr>
    </w:p>
    <w:p w:rsidR="003B4095" w:rsidRDefault="003B4095" w:rsidP="003B4095">
      <w:pPr>
        <w:pStyle w:val="Standard"/>
      </w:pPr>
      <w:r>
        <w:rPr>
          <w:rFonts w:ascii="Arial" w:hAnsi="Arial" w:cs="Arial"/>
          <w:sz w:val="24"/>
          <w:szCs w:val="24"/>
        </w:rPr>
        <w:t xml:space="preserve">                 </w:t>
      </w:r>
    </w:p>
    <w:p w:rsidR="003B4095" w:rsidRDefault="003B4095" w:rsidP="003B4095">
      <w:pPr>
        <w:pStyle w:val="Standard"/>
        <w:rPr>
          <w:rFonts w:ascii="Arial" w:hAnsi="Arial" w:cs="Arial"/>
          <w:sz w:val="24"/>
          <w:szCs w:val="24"/>
        </w:rPr>
      </w:pPr>
    </w:p>
    <w:p w:rsidR="003B4095" w:rsidRDefault="003B4095" w:rsidP="003B4095">
      <w:pPr>
        <w:pStyle w:val="Standard"/>
      </w:pPr>
    </w:p>
    <w:p w:rsidR="00696B7C" w:rsidRDefault="003B4095"/>
    <w:p w:rsidR="003B4095" w:rsidRDefault="003B4095"/>
    <w:p w:rsidR="003B4095" w:rsidRDefault="003B4095"/>
    <w:p w:rsidR="003B4095" w:rsidRDefault="003B4095"/>
    <w:p w:rsidR="003B4095" w:rsidRDefault="003B4095"/>
    <w:p w:rsidR="003B4095" w:rsidRDefault="003B4095"/>
    <w:p w:rsidR="003B4095" w:rsidRDefault="003B4095"/>
    <w:p w:rsidR="003B4095" w:rsidRDefault="003B4095" w:rsidP="003B4095">
      <w:pPr>
        <w:pStyle w:val="Standard"/>
        <w:spacing w:after="0" w:line="240" w:lineRule="auto"/>
        <w:jc w:val="right"/>
      </w:pPr>
      <w:r>
        <w:rPr>
          <w:rFonts w:ascii="Arial" w:hAnsi="Arial" w:cs="Arial"/>
          <w:sz w:val="24"/>
          <w:szCs w:val="24"/>
        </w:rPr>
        <w:lastRenderedPageBreak/>
        <w:t>Załącznik do Zarządzenia Nr 10/2015</w:t>
      </w:r>
    </w:p>
    <w:p w:rsidR="003B4095" w:rsidRDefault="003B4095" w:rsidP="003B4095">
      <w:pPr>
        <w:pStyle w:val="Standard"/>
        <w:spacing w:after="0" w:line="240" w:lineRule="auto"/>
        <w:jc w:val="right"/>
      </w:pPr>
      <w:r>
        <w:rPr>
          <w:rFonts w:ascii="Arial" w:hAnsi="Arial" w:cs="Arial"/>
          <w:sz w:val="24"/>
          <w:szCs w:val="24"/>
        </w:rPr>
        <w:t>Kierownika Dziennego Domu „Senior Wigor”</w:t>
      </w:r>
    </w:p>
    <w:p w:rsidR="003B4095" w:rsidRDefault="003B4095" w:rsidP="003B4095">
      <w:pPr>
        <w:pStyle w:val="Standard"/>
        <w:spacing w:after="0" w:line="240" w:lineRule="auto"/>
        <w:jc w:val="right"/>
      </w:pPr>
      <w:r>
        <w:rPr>
          <w:rFonts w:ascii="Arial" w:hAnsi="Arial" w:cs="Arial"/>
          <w:sz w:val="24"/>
          <w:szCs w:val="24"/>
        </w:rPr>
        <w:t>z dnia 14.12.2015r</w:t>
      </w:r>
    </w:p>
    <w:p w:rsidR="003B4095" w:rsidRDefault="003B4095" w:rsidP="003B4095">
      <w:pPr>
        <w:pStyle w:val="Standard"/>
        <w:spacing w:after="0" w:line="240" w:lineRule="auto"/>
        <w:jc w:val="center"/>
        <w:rPr>
          <w:b/>
          <w:sz w:val="28"/>
          <w:szCs w:val="28"/>
        </w:rPr>
      </w:pPr>
    </w:p>
    <w:p w:rsidR="003B4095" w:rsidRDefault="003B4095" w:rsidP="003B4095">
      <w:pPr>
        <w:pStyle w:val="Standard"/>
        <w:spacing w:after="0" w:line="240" w:lineRule="auto"/>
        <w:jc w:val="center"/>
      </w:pPr>
      <w:r>
        <w:rPr>
          <w:rFonts w:ascii="Arial" w:hAnsi="Arial" w:cs="Arial"/>
          <w:b/>
          <w:sz w:val="24"/>
          <w:szCs w:val="24"/>
        </w:rPr>
        <w:t>Procedury przyjmowania i rozpatrywania skarg i wniosków</w:t>
      </w:r>
    </w:p>
    <w:p w:rsidR="003B4095" w:rsidRDefault="003B4095" w:rsidP="003B4095">
      <w:pPr>
        <w:pStyle w:val="Standard"/>
        <w:spacing w:after="0" w:line="240" w:lineRule="auto"/>
        <w:jc w:val="center"/>
      </w:pPr>
      <w:r>
        <w:rPr>
          <w:rFonts w:ascii="Arial" w:hAnsi="Arial" w:cs="Arial"/>
          <w:b/>
          <w:bCs/>
          <w:sz w:val="26"/>
          <w:szCs w:val="26"/>
        </w:rPr>
        <w:t>Dziennego Domu „Senior – WIGOR” w Sławkowie</w:t>
      </w:r>
      <w:r>
        <w:rPr>
          <w:rFonts w:ascii="Arial" w:hAnsi="Arial" w:cs="Arial"/>
          <w:b/>
          <w:sz w:val="24"/>
          <w:szCs w:val="24"/>
        </w:rPr>
        <w:t>.</w:t>
      </w:r>
    </w:p>
    <w:p w:rsidR="003B4095" w:rsidRDefault="003B4095" w:rsidP="003B4095">
      <w:pPr>
        <w:pStyle w:val="Standard"/>
        <w:spacing w:after="0"/>
        <w:rPr>
          <w:rFonts w:ascii="Arial" w:hAnsi="Arial" w:cs="Arial"/>
          <w:b/>
          <w:sz w:val="24"/>
          <w:szCs w:val="24"/>
        </w:rPr>
      </w:pPr>
    </w:p>
    <w:p w:rsidR="003B4095" w:rsidRDefault="003B4095" w:rsidP="003B4095">
      <w:pPr>
        <w:pStyle w:val="Standard"/>
        <w:jc w:val="center"/>
      </w:pPr>
      <w:r>
        <w:rPr>
          <w:rFonts w:ascii="Arial" w:hAnsi="Arial" w:cs="Arial"/>
          <w:b/>
          <w:bCs/>
          <w:sz w:val="26"/>
          <w:szCs w:val="26"/>
        </w:rPr>
        <w:t>Rozdział I</w:t>
      </w:r>
      <w:r>
        <w:rPr>
          <w:rFonts w:ascii="Arial" w:hAnsi="Arial" w:cs="Arial"/>
          <w:b/>
          <w:bCs/>
          <w:sz w:val="26"/>
          <w:szCs w:val="26"/>
        </w:rPr>
        <w:br/>
      </w:r>
      <w:r>
        <w:rPr>
          <w:rFonts w:ascii="Arial" w:hAnsi="Arial" w:cs="Arial"/>
          <w:b/>
          <w:sz w:val="24"/>
          <w:szCs w:val="24"/>
        </w:rPr>
        <w:t>Przyjmowanie i rozpatrywanie skarg i wniosków</w:t>
      </w:r>
      <w:r>
        <w:rPr>
          <w:rFonts w:ascii="Arial" w:hAnsi="Arial" w:cs="Arial"/>
          <w:sz w:val="24"/>
          <w:szCs w:val="24"/>
        </w:rPr>
        <w:t>.</w:t>
      </w:r>
    </w:p>
    <w:p w:rsidR="003B4095" w:rsidRDefault="003B4095" w:rsidP="003B4095">
      <w:pPr>
        <w:pStyle w:val="Akapitzlist"/>
        <w:ind w:left="15"/>
        <w:jc w:val="center"/>
      </w:pPr>
    </w:p>
    <w:p w:rsidR="003B4095" w:rsidRDefault="003B4095" w:rsidP="003B4095">
      <w:pPr>
        <w:pStyle w:val="Standard"/>
        <w:ind w:left="15"/>
        <w:jc w:val="center"/>
        <w:rPr>
          <w:rFonts w:ascii="Arial" w:hAnsi="Arial" w:cs="Arial"/>
          <w:b/>
          <w:bCs/>
          <w:sz w:val="26"/>
          <w:szCs w:val="26"/>
        </w:rPr>
      </w:pPr>
      <w:r>
        <w:rPr>
          <w:rFonts w:ascii="Arial" w:hAnsi="Arial" w:cs="Arial"/>
          <w:b/>
          <w:bCs/>
          <w:sz w:val="24"/>
          <w:szCs w:val="24"/>
        </w:rPr>
        <w:t>§ 1</w:t>
      </w:r>
    </w:p>
    <w:p w:rsidR="003B4095" w:rsidRDefault="003B4095" w:rsidP="003B4095">
      <w:pPr>
        <w:pStyle w:val="Akapitzlist"/>
        <w:ind w:left="15"/>
        <w:jc w:val="both"/>
      </w:pPr>
      <w:r>
        <w:rPr>
          <w:rFonts w:ascii="Arial" w:hAnsi="Arial" w:cs="Arial"/>
          <w:sz w:val="24"/>
          <w:szCs w:val="24"/>
        </w:rPr>
        <w:t>W Dziennym Domu „Senior Wigor” w Sławkowie skargi i wnioski przyjmowane są przez Kierownika w poniedziałek  w godzinach od 14</w:t>
      </w:r>
      <w:r>
        <w:rPr>
          <w:rFonts w:ascii="Arial" w:hAnsi="Arial" w:cs="Arial"/>
          <w:sz w:val="24"/>
          <w:szCs w:val="24"/>
          <w:vertAlign w:val="superscript"/>
        </w:rPr>
        <w:t>00</w:t>
      </w:r>
      <w:r>
        <w:rPr>
          <w:rFonts w:ascii="Arial" w:hAnsi="Arial" w:cs="Arial"/>
          <w:sz w:val="24"/>
          <w:szCs w:val="24"/>
        </w:rPr>
        <w:t>do 16</w:t>
      </w:r>
      <w:r>
        <w:rPr>
          <w:rFonts w:ascii="Arial" w:hAnsi="Arial" w:cs="Arial"/>
          <w:sz w:val="24"/>
          <w:szCs w:val="24"/>
          <w:vertAlign w:val="superscript"/>
        </w:rPr>
        <w:t>00</w:t>
      </w:r>
      <w:r>
        <w:t>.</w:t>
      </w:r>
    </w:p>
    <w:p w:rsidR="003B4095" w:rsidRDefault="003B4095" w:rsidP="003B4095">
      <w:pPr>
        <w:pStyle w:val="Akapitzlist"/>
        <w:spacing w:after="0" w:line="240" w:lineRule="auto"/>
        <w:ind w:left="15"/>
        <w:jc w:val="both"/>
      </w:pPr>
    </w:p>
    <w:p w:rsidR="003B4095" w:rsidRDefault="003B4095" w:rsidP="003B4095">
      <w:pPr>
        <w:pStyle w:val="Standard"/>
        <w:spacing w:after="0" w:line="240" w:lineRule="auto"/>
        <w:ind w:left="15"/>
        <w:jc w:val="center"/>
        <w:rPr>
          <w:rFonts w:ascii="Arial" w:hAnsi="Arial" w:cs="Arial"/>
          <w:b/>
          <w:bCs/>
          <w:sz w:val="26"/>
          <w:szCs w:val="26"/>
        </w:rPr>
      </w:pPr>
      <w:r>
        <w:rPr>
          <w:rFonts w:ascii="Arial" w:hAnsi="Arial" w:cs="Arial"/>
          <w:b/>
          <w:bCs/>
          <w:sz w:val="24"/>
          <w:szCs w:val="24"/>
        </w:rPr>
        <w:t>§ 2</w:t>
      </w:r>
    </w:p>
    <w:p w:rsidR="003B4095" w:rsidRDefault="003B4095" w:rsidP="003B4095">
      <w:pPr>
        <w:pStyle w:val="Akapitzlist"/>
        <w:spacing w:after="0" w:line="240" w:lineRule="auto"/>
        <w:ind w:left="15"/>
        <w:jc w:val="both"/>
      </w:pPr>
      <w:r>
        <w:rPr>
          <w:rFonts w:ascii="Arial" w:hAnsi="Arial" w:cs="Arial"/>
          <w:sz w:val="24"/>
          <w:szCs w:val="24"/>
        </w:rPr>
        <w:t>Skargi i wnioski mogą być wnoszone:</w:t>
      </w:r>
    </w:p>
    <w:p w:rsidR="003B4095" w:rsidRDefault="003B4095" w:rsidP="003B4095">
      <w:pPr>
        <w:pStyle w:val="Standard"/>
        <w:spacing w:after="0" w:line="240" w:lineRule="auto"/>
        <w:ind w:left="15"/>
        <w:jc w:val="both"/>
      </w:pPr>
      <w:r>
        <w:rPr>
          <w:rFonts w:ascii="Arial" w:hAnsi="Arial" w:cs="Arial"/>
          <w:sz w:val="24"/>
          <w:szCs w:val="24"/>
        </w:rPr>
        <w:t>1. pisemnie,</w:t>
      </w:r>
    </w:p>
    <w:p w:rsidR="003B4095" w:rsidRDefault="003B4095" w:rsidP="003B4095">
      <w:pPr>
        <w:pStyle w:val="Standard"/>
        <w:spacing w:after="0"/>
        <w:ind w:left="15"/>
        <w:jc w:val="both"/>
      </w:pPr>
      <w:r>
        <w:rPr>
          <w:rFonts w:ascii="Arial" w:hAnsi="Arial" w:cs="Arial"/>
          <w:sz w:val="24"/>
          <w:szCs w:val="24"/>
        </w:rPr>
        <w:t>2. pocztą elektroniczną,</w:t>
      </w:r>
    </w:p>
    <w:p w:rsidR="003B4095" w:rsidRDefault="003B4095" w:rsidP="003B4095">
      <w:pPr>
        <w:pStyle w:val="Standard"/>
        <w:spacing w:after="0"/>
        <w:ind w:left="15"/>
        <w:jc w:val="both"/>
      </w:pPr>
      <w:r>
        <w:rPr>
          <w:rFonts w:ascii="Arial" w:hAnsi="Arial" w:cs="Arial"/>
          <w:sz w:val="24"/>
          <w:szCs w:val="24"/>
        </w:rPr>
        <w:t>3. ustnie do protokołu.</w:t>
      </w:r>
    </w:p>
    <w:p w:rsidR="003B4095" w:rsidRDefault="003B4095" w:rsidP="003B4095">
      <w:pPr>
        <w:pStyle w:val="Standard"/>
        <w:spacing w:after="0"/>
        <w:ind w:left="15"/>
        <w:jc w:val="both"/>
      </w:pPr>
    </w:p>
    <w:p w:rsidR="003B4095" w:rsidRDefault="003B4095" w:rsidP="003B4095">
      <w:pPr>
        <w:pStyle w:val="Standard"/>
        <w:spacing w:after="0"/>
        <w:ind w:left="15"/>
        <w:jc w:val="center"/>
        <w:rPr>
          <w:rFonts w:ascii="Arial" w:hAnsi="Arial" w:cs="Arial"/>
          <w:b/>
          <w:bCs/>
          <w:sz w:val="26"/>
          <w:szCs w:val="26"/>
        </w:rPr>
      </w:pPr>
      <w:r>
        <w:rPr>
          <w:rFonts w:ascii="Arial" w:hAnsi="Arial" w:cs="Arial"/>
          <w:b/>
          <w:bCs/>
          <w:sz w:val="24"/>
          <w:szCs w:val="24"/>
        </w:rPr>
        <w:t>§ 3</w:t>
      </w:r>
    </w:p>
    <w:p w:rsidR="003B4095" w:rsidRDefault="003B4095" w:rsidP="003B4095">
      <w:pPr>
        <w:pStyle w:val="Akapitzlist"/>
        <w:spacing w:after="0"/>
        <w:ind w:left="0"/>
        <w:jc w:val="both"/>
      </w:pPr>
      <w:r>
        <w:rPr>
          <w:rFonts w:ascii="Arial" w:hAnsi="Arial" w:cs="Arial"/>
          <w:sz w:val="24"/>
          <w:szCs w:val="24"/>
        </w:rPr>
        <w:t>Po rejestracji skargi/wniosku w książce korespondencji, pracownik niezwłocznie przekazuje je Kierownikowi, który dokonuje kwalifikacji skargi/wniosku i wyznacza pracownika odpowiedzialnego za ich wyjaśnienie.</w:t>
      </w:r>
    </w:p>
    <w:p w:rsidR="003B4095" w:rsidRDefault="003B4095" w:rsidP="003B4095">
      <w:pPr>
        <w:pStyle w:val="Akapitzlist"/>
        <w:spacing w:after="0"/>
        <w:ind w:left="0"/>
        <w:jc w:val="both"/>
      </w:pPr>
    </w:p>
    <w:p w:rsidR="003B4095" w:rsidRDefault="003B4095" w:rsidP="003B4095">
      <w:pPr>
        <w:pStyle w:val="Standard"/>
        <w:spacing w:after="0"/>
        <w:jc w:val="center"/>
        <w:rPr>
          <w:rFonts w:ascii="Arial" w:hAnsi="Arial" w:cs="Arial"/>
          <w:b/>
          <w:bCs/>
          <w:sz w:val="26"/>
          <w:szCs w:val="26"/>
        </w:rPr>
      </w:pPr>
      <w:r>
        <w:rPr>
          <w:rFonts w:ascii="Arial" w:hAnsi="Arial" w:cs="Arial"/>
          <w:b/>
          <w:bCs/>
          <w:sz w:val="24"/>
          <w:szCs w:val="24"/>
        </w:rPr>
        <w:t>§ 4</w:t>
      </w:r>
    </w:p>
    <w:p w:rsidR="003B4095" w:rsidRDefault="003B4095" w:rsidP="003B4095">
      <w:pPr>
        <w:pStyle w:val="Akapitzlist"/>
        <w:spacing w:after="0"/>
        <w:ind w:left="0"/>
        <w:jc w:val="both"/>
      </w:pPr>
      <w:r>
        <w:rPr>
          <w:rFonts w:ascii="Arial" w:hAnsi="Arial" w:cs="Arial"/>
          <w:sz w:val="24"/>
          <w:szCs w:val="24"/>
        </w:rPr>
        <w:t>Pracownik prowadzący rejestr skarg/wniosków, rejestruje je poprzez wpisanie:</w:t>
      </w:r>
    </w:p>
    <w:p w:rsidR="003B4095" w:rsidRDefault="003B4095" w:rsidP="003B4095">
      <w:pPr>
        <w:pStyle w:val="Standard"/>
        <w:spacing w:after="0"/>
        <w:jc w:val="both"/>
      </w:pPr>
      <w:r>
        <w:rPr>
          <w:rFonts w:ascii="Arial" w:hAnsi="Arial" w:cs="Arial"/>
          <w:sz w:val="24"/>
          <w:szCs w:val="24"/>
        </w:rPr>
        <w:t>1. liczby porządkowej,</w:t>
      </w:r>
    </w:p>
    <w:p w:rsidR="003B4095" w:rsidRDefault="003B4095" w:rsidP="003B4095">
      <w:pPr>
        <w:pStyle w:val="Standard"/>
        <w:spacing w:after="0"/>
        <w:jc w:val="both"/>
      </w:pPr>
      <w:r>
        <w:rPr>
          <w:rFonts w:ascii="Arial" w:hAnsi="Arial" w:cs="Arial"/>
          <w:sz w:val="24"/>
          <w:szCs w:val="24"/>
        </w:rPr>
        <w:t>2. daty skargi lub wniosku,</w:t>
      </w:r>
    </w:p>
    <w:p w:rsidR="003B4095" w:rsidRDefault="003B4095" w:rsidP="003B4095">
      <w:pPr>
        <w:pStyle w:val="Standard"/>
        <w:spacing w:after="0"/>
        <w:jc w:val="both"/>
      </w:pPr>
      <w:r>
        <w:rPr>
          <w:rFonts w:ascii="Arial" w:hAnsi="Arial" w:cs="Arial"/>
          <w:sz w:val="24"/>
          <w:szCs w:val="24"/>
        </w:rPr>
        <w:t>3. imienia i nazwiska (nazwy), adresu wnoszącego skargę lub wniosek,</w:t>
      </w:r>
    </w:p>
    <w:p w:rsidR="003B4095" w:rsidRDefault="003B4095" w:rsidP="003B4095">
      <w:pPr>
        <w:pStyle w:val="Standard"/>
        <w:spacing w:after="0"/>
        <w:jc w:val="both"/>
      </w:pPr>
      <w:r>
        <w:rPr>
          <w:rFonts w:ascii="Arial" w:hAnsi="Arial" w:cs="Arial"/>
          <w:sz w:val="24"/>
          <w:szCs w:val="24"/>
        </w:rPr>
        <w:t>4. przedmiotu skargi lub wniosku,</w:t>
      </w:r>
    </w:p>
    <w:p w:rsidR="003B4095" w:rsidRDefault="003B4095" w:rsidP="003B4095">
      <w:pPr>
        <w:pStyle w:val="Standard"/>
        <w:spacing w:after="0"/>
        <w:jc w:val="both"/>
      </w:pPr>
      <w:r>
        <w:rPr>
          <w:rFonts w:ascii="Arial" w:hAnsi="Arial" w:cs="Arial"/>
          <w:sz w:val="24"/>
          <w:szCs w:val="24"/>
        </w:rPr>
        <w:t>5. sposobu załatwienia (po rozpatrzeniu skargi/ wniosku).</w:t>
      </w:r>
    </w:p>
    <w:p w:rsidR="003B4095" w:rsidRDefault="003B4095" w:rsidP="003B4095">
      <w:pPr>
        <w:pStyle w:val="Standard"/>
        <w:spacing w:after="0"/>
        <w:jc w:val="both"/>
      </w:pPr>
    </w:p>
    <w:p w:rsidR="003B4095" w:rsidRDefault="003B4095" w:rsidP="003B4095">
      <w:pPr>
        <w:pStyle w:val="Standard"/>
        <w:spacing w:after="0"/>
        <w:jc w:val="center"/>
        <w:rPr>
          <w:rFonts w:ascii="Arial" w:hAnsi="Arial" w:cs="Arial"/>
          <w:b/>
          <w:bCs/>
          <w:sz w:val="26"/>
          <w:szCs w:val="26"/>
        </w:rPr>
      </w:pPr>
      <w:r>
        <w:rPr>
          <w:rFonts w:ascii="Arial" w:hAnsi="Arial" w:cs="Arial"/>
          <w:b/>
          <w:bCs/>
          <w:sz w:val="24"/>
          <w:szCs w:val="24"/>
        </w:rPr>
        <w:t>§ 5</w:t>
      </w:r>
    </w:p>
    <w:p w:rsidR="003B4095" w:rsidRDefault="003B4095" w:rsidP="003B4095">
      <w:pPr>
        <w:pStyle w:val="Akapitzlist"/>
        <w:spacing w:after="0"/>
        <w:ind w:left="15"/>
        <w:jc w:val="both"/>
      </w:pPr>
      <w:r>
        <w:rPr>
          <w:rFonts w:ascii="Arial" w:hAnsi="Arial" w:cs="Arial"/>
          <w:sz w:val="24"/>
          <w:szCs w:val="24"/>
        </w:rPr>
        <w:t xml:space="preserve">Skargi i wnioski nienależące do kompetencji Dziennego Domu „Senior–Wigor” </w:t>
      </w:r>
      <w:r>
        <w:rPr>
          <w:rFonts w:ascii="Arial" w:hAnsi="Arial" w:cs="Arial"/>
          <w:sz w:val="24"/>
          <w:szCs w:val="24"/>
        </w:rPr>
        <w:br/>
        <w:t>w Sławkowie oraz skargi i wnioski niezawierające imienia, nazwiska (nazwy) oraz adresu wnoszącego (anonimy), również wpisywane są do rejestru skarg i wniosków.</w:t>
      </w:r>
    </w:p>
    <w:p w:rsidR="003B4095" w:rsidRDefault="003B4095" w:rsidP="003B4095">
      <w:pPr>
        <w:pStyle w:val="Akapitzlist"/>
        <w:spacing w:after="0"/>
        <w:ind w:left="15"/>
        <w:jc w:val="both"/>
      </w:pPr>
    </w:p>
    <w:p w:rsidR="003B4095" w:rsidRDefault="003B4095" w:rsidP="003B4095">
      <w:pPr>
        <w:pStyle w:val="Standard"/>
        <w:spacing w:after="0"/>
        <w:ind w:left="15"/>
        <w:jc w:val="center"/>
        <w:rPr>
          <w:rFonts w:ascii="Arial" w:hAnsi="Arial" w:cs="Arial"/>
          <w:b/>
          <w:bCs/>
          <w:sz w:val="26"/>
          <w:szCs w:val="26"/>
        </w:rPr>
      </w:pPr>
      <w:r>
        <w:rPr>
          <w:rFonts w:ascii="Arial" w:hAnsi="Arial" w:cs="Arial"/>
          <w:b/>
          <w:bCs/>
          <w:sz w:val="24"/>
          <w:szCs w:val="24"/>
        </w:rPr>
        <w:t>§ 6</w:t>
      </w:r>
    </w:p>
    <w:p w:rsidR="003B4095" w:rsidRDefault="003B4095" w:rsidP="003B4095">
      <w:pPr>
        <w:pStyle w:val="Akapitzlist"/>
        <w:spacing w:after="0"/>
        <w:ind w:left="15"/>
        <w:jc w:val="both"/>
      </w:pPr>
      <w:r>
        <w:rPr>
          <w:rFonts w:ascii="Arial" w:hAnsi="Arial" w:cs="Arial"/>
          <w:sz w:val="24"/>
          <w:szCs w:val="24"/>
        </w:rPr>
        <w:t>W protokole, zamieszcza się datę wniesienia skargi lub wniosku, imię, nazwisko (nazwę) i adres skarżącego lub wnioskodawcy, zwięzłą treść skargi lub wniosku oraz w razie potrzeby, sygnaturę akt sprawy której dotyczy skarga lub wniosek.</w:t>
      </w:r>
    </w:p>
    <w:p w:rsidR="003B4095" w:rsidRDefault="003B4095" w:rsidP="003B4095">
      <w:pPr>
        <w:pStyle w:val="Akapitzlist"/>
        <w:spacing w:after="0"/>
        <w:ind w:left="15"/>
        <w:jc w:val="both"/>
      </w:pPr>
      <w:r>
        <w:rPr>
          <w:rFonts w:ascii="Arial" w:hAnsi="Arial" w:cs="Arial"/>
          <w:sz w:val="24"/>
          <w:szCs w:val="24"/>
        </w:rPr>
        <w:lastRenderedPageBreak/>
        <w:t>W przypadku skargi lub wniosku zgłoszonych do protokołu, protokół jest podpisywany przez skarżącego lub wnioskodawcę oraz pracownika przyjmującego skargę lub wniosek. Na żądanie skarżącego lub wnioskodawcy pracownik przyjmujący skargę lub wniosek potwierdza ich przyjęcie.</w:t>
      </w:r>
    </w:p>
    <w:p w:rsidR="003B4095" w:rsidRDefault="003B4095" w:rsidP="003B4095">
      <w:pPr>
        <w:pStyle w:val="Akapitzlist"/>
        <w:spacing w:after="0"/>
        <w:ind w:left="0"/>
        <w:jc w:val="both"/>
      </w:pPr>
      <w:r>
        <w:rPr>
          <w:rFonts w:ascii="Arial" w:hAnsi="Arial" w:cs="Arial"/>
          <w:sz w:val="24"/>
          <w:szCs w:val="24"/>
        </w:rPr>
        <w:t>Protokół stanowi załącznik nr 1.</w:t>
      </w:r>
    </w:p>
    <w:p w:rsidR="003B4095" w:rsidRDefault="003B4095" w:rsidP="003B4095">
      <w:pPr>
        <w:pStyle w:val="Akapitzlist"/>
        <w:spacing w:after="0"/>
        <w:ind w:left="0"/>
        <w:jc w:val="both"/>
        <w:rPr>
          <w:rFonts w:ascii="Arial" w:hAnsi="Arial" w:cs="Arial"/>
          <w:sz w:val="24"/>
          <w:szCs w:val="24"/>
        </w:rPr>
      </w:pPr>
    </w:p>
    <w:p w:rsidR="003B4095" w:rsidRDefault="003B4095" w:rsidP="003B4095">
      <w:pPr>
        <w:pStyle w:val="Standard"/>
        <w:spacing w:after="0"/>
        <w:jc w:val="center"/>
      </w:pPr>
      <w:r>
        <w:rPr>
          <w:rFonts w:ascii="Arial" w:hAnsi="Arial" w:cs="Arial"/>
          <w:b/>
          <w:bCs/>
          <w:sz w:val="26"/>
          <w:szCs w:val="26"/>
        </w:rPr>
        <w:t>Rozdział II</w:t>
      </w:r>
    </w:p>
    <w:p w:rsidR="003B4095" w:rsidRDefault="003B4095" w:rsidP="003B4095">
      <w:pPr>
        <w:pStyle w:val="Standard"/>
        <w:spacing w:after="0"/>
        <w:jc w:val="center"/>
      </w:pPr>
      <w:r>
        <w:rPr>
          <w:rFonts w:ascii="Arial" w:hAnsi="Arial" w:cs="Arial"/>
          <w:b/>
          <w:sz w:val="24"/>
          <w:szCs w:val="24"/>
        </w:rPr>
        <w:t>Kwalifikacja skarg i wniosków.</w:t>
      </w:r>
    </w:p>
    <w:p w:rsidR="003B4095" w:rsidRDefault="003B4095" w:rsidP="003B4095">
      <w:pPr>
        <w:pStyle w:val="Standard"/>
        <w:spacing w:after="0"/>
        <w:rPr>
          <w:rFonts w:ascii="Arial" w:hAnsi="Arial" w:cs="Arial"/>
          <w:b/>
          <w:sz w:val="24"/>
          <w:szCs w:val="24"/>
        </w:rPr>
      </w:pPr>
    </w:p>
    <w:p w:rsidR="003B4095" w:rsidRDefault="003B4095" w:rsidP="003B4095">
      <w:pPr>
        <w:pStyle w:val="Standard"/>
        <w:spacing w:after="0"/>
        <w:ind w:left="15"/>
        <w:jc w:val="center"/>
        <w:rPr>
          <w:rFonts w:ascii="Arial" w:hAnsi="Arial" w:cs="Arial"/>
          <w:b/>
          <w:bCs/>
          <w:sz w:val="26"/>
          <w:szCs w:val="26"/>
        </w:rPr>
      </w:pPr>
      <w:r>
        <w:rPr>
          <w:rFonts w:ascii="Arial" w:hAnsi="Arial" w:cs="Arial"/>
          <w:b/>
          <w:bCs/>
          <w:sz w:val="24"/>
          <w:szCs w:val="24"/>
        </w:rPr>
        <w:t>§ 7</w:t>
      </w:r>
    </w:p>
    <w:p w:rsidR="003B4095" w:rsidRDefault="003B4095" w:rsidP="003B4095">
      <w:pPr>
        <w:pStyle w:val="Akapitzlist"/>
        <w:ind w:left="0"/>
        <w:jc w:val="both"/>
      </w:pPr>
      <w:r>
        <w:rPr>
          <w:rFonts w:ascii="Arial" w:hAnsi="Arial" w:cs="Arial"/>
          <w:sz w:val="24"/>
          <w:szCs w:val="24"/>
        </w:rPr>
        <w:t>Kwalifikacji spraw jako skargi lub wniosku dokonuje Kierownik lub osoba przez niego upoważniona.</w:t>
      </w:r>
    </w:p>
    <w:p w:rsidR="003B4095" w:rsidRDefault="003B4095" w:rsidP="003B4095">
      <w:pPr>
        <w:pStyle w:val="Standard"/>
        <w:spacing w:after="0"/>
        <w:ind w:left="15"/>
        <w:jc w:val="center"/>
        <w:rPr>
          <w:rFonts w:ascii="Arial" w:hAnsi="Arial" w:cs="Arial"/>
          <w:b/>
          <w:bCs/>
          <w:sz w:val="26"/>
          <w:szCs w:val="26"/>
        </w:rPr>
      </w:pPr>
      <w:r>
        <w:rPr>
          <w:rFonts w:ascii="Arial" w:hAnsi="Arial" w:cs="Arial"/>
          <w:b/>
          <w:bCs/>
          <w:sz w:val="24"/>
          <w:szCs w:val="24"/>
        </w:rPr>
        <w:t>§ 8</w:t>
      </w:r>
    </w:p>
    <w:p w:rsidR="003B4095" w:rsidRDefault="003B4095" w:rsidP="003B4095">
      <w:pPr>
        <w:pStyle w:val="Akapitzlist"/>
        <w:ind w:left="0"/>
        <w:jc w:val="both"/>
      </w:pPr>
      <w:r>
        <w:rPr>
          <w:rFonts w:ascii="Arial" w:hAnsi="Arial" w:cs="Arial"/>
          <w:sz w:val="24"/>
          <w:szCs w:val="24"/>
        </w:rPr>
        <w:t>O tym czy pismo jest skargą lub wnioskiem, decyduje treść pisma, a nie jego forma zewnętrzna.</w:t>
      </w:r>
    </w:p>
    <w:p w:rsidR="003B4095" w:rsidRDefault="003B4095" w:rsidP="003B4095">
      <w:pPr>
        <w:pStyle w:val="Standard"/>
        <w:spacing w:after="0"/>
        <w:ind w:left="15"/>
        <w:jc w:val="center"/>
      </w:pPr>
      <w:r>
        <w:rPr>
          <w:rFonts w:ascii="Arial" w:hAnsi="Arial" w:cs="Arial"/>
          <w:b/>
          <w:bCs/>
          <w:sz w:val="24"/>
          <w:szCs w:val="24"/>
        </w:rPr>
        <w:t>§ 9</w:t>
      </w:r>
    </w:p>
    <w:p w:rsidR="003B4095" w:rsidRDefault="003B4095" w:rsidP="003B4095">
      <w:pPr>
        <w:pStyle w:val="Akapitzlist"/>
        <w:ind w:left="0"/>
        <w:jc w:val="both"/>
      </w:pPr>
      <w:r>
        <w:rPr>
          <w:rFonts w:ascii="Arial" w:hAnsi="Arial" w:cs="Arial"/>
          <w:sz w:val="24"/>
          <w:szCs w:val="24"/>
        </w:rPr>
        <w:t>Skarga/wniosek niezawierający imienia, nazwiska (nazwy) oraz adresu wnoszącego, po dokonaniu rejestracji pozostaje bez rozpoznania. Kierownik może wykorzystać informacje zawarte w skardze, wniosku, w ramach pełnionego nadzoru nad pracą jednostki.</w:t>
      </w:r>
    </w:p>
    <w:p w:rsidR="003B4095" w:rsidRDefault="003B4095" w:rsidP="003B4095">
      <w:pPr>
        <w:pStyle w:val="Standard"/>
        <w:spacing w:after="0"/>
        <w:ind w:left="15"/>
        <w:jc w:val="center"/>
        <w:rPr>
          <w:rFonts w:ascii="Arial" w:hAnsi="Arial" w:cs="Arial"/>
          <w:b/>
          <w:bCs/>
          <w:sz w:val="26"/>
          <w:szCs w:val="26"/>
        </w:rPr>
      </w:pPr>
      <w:r>
        <w:rPr>
          <w:rFonts w:ascii="Arial" w:hAnsi="Arial" w:cs="Arial"/>
          <w:b/>
          <w:bCs/>
          <w:sz w:val="24"/>
          <w:szCs w:val="24"/>
        </w:rPr>
        <w:t>§ 10</w:t>
      </w:r>
    </w:p>
    <w:p w:rsidR="003B4095" w:rsidRDefault="003B4095" w:rsidP="003B4095">
      <w:pPr>
        <w:pStyle w:val="Akapitzlist"/>
        <w:ind w:left="0"/>
        <w:jc w:val="both"/>
      </w:pPr>
      <w:r>
        <w:rPr>
          <w:rFonts w:ascii="Arial" w:hAnsi="Arial" w:cs="Arial"/>
          <w:sz w:val="24"/>
          <w:szCs w:val="24"/>
        </w:rPr>
        <w:t>Jeżeli z treści skargi/wniosku nie można ustalić jej przedmiotu, Kierownik wzywa wnoszącego o wyjaśnienia lub uzupełnienie. Brak wyjaśnień spowoduje pozostawienie skargi/wniosku bez rozpoznania.</w:t>
      </w:r>
    </w:p>
    <w:p w:rsidR="003B4095" w:rsidRDefault="003B4095" w:rsidP="003B4095">
      <w:pPr>
        <w:pStyle w:val="Standard"/>
        <w:spacing w:after="0"/>
        <w:ind w:left="15"/>
        <w:jc w:val="center"/>
        <w:rPr>
          <w:rFonts w:ascii="Arial" w:hAnsi="Arial" w:cs="Arial"/>
          <w:b/>
          <w:bCs/>
          <w:sz w:val="26"/>
          <w:szCs w:val="26"/>
        </w:rPr>
      </w:pPr>
      <w:r>
        <w:rPr>
          <w:rFonts w:ascii="Arial" w:hAnsi="Arial" w:cs="Arial"/>
          <w:b/>
          <w:bCs/>
          <w:sz w:val="24"/>
          <w:szCs w:val="24"/>
        </w:rPr>
        <w:t>§ 11</w:t>
      </w:r>
    </w:p>
    <w:p w:rsidR="003B4095" w:rsidRDefault="003B4095" w:rsidP="003B4095">
      <w:pPr>
        <w:pStyle w:val="Akapitzlist"/>
        <w:ind w:left="0"/>
        <w:jc w:val="both"/>
      </w:pPr>
      <w:r>
        <w:rPr>
          <w:rFonts w:ascii="Arial" w:hAnsi="Arial" w:cs="Arial"/>
          <w:sz w:val="24"/>
          <w:szCs w:val="24"/>
        </w:rPr>
        <w:t>Jeżeli Dzienny Dom „Senior-Wigor” w Sławkowie nie jest właściwym organem do rozpatrzenia skargi lub wniosku, obowiązany jest niezwłocznie, nie później jednak niż w terminie siedmiu dni, przekazać skargę lub wniosek właściwemu organowi, zawiadamiając równocześnie o tym skarżącego, albo wskazać mu właściwy organ.</w:t>
      </w:r>
    </w:p>
    <w:p w:rsidR="003B4095" w:rsidRDefault="003B4095" w:rsidP="003B4095">
      <w:pPr>
        <w:pStyle w:val="Akapitzlist"/>
        <w:ind w:left="0"/>
        <w:jc w:val="both"/>
      </w:pPr>
    </w:p>
    <w:p w:rsidR="003B4095" w:rsidRDefault="003B4095" w:rsidP="003B4095">
      <w:pPr>
        <w:pStyle w:val="Standard"/>
        <w:spacing w:after="0"/>
        <w:jc w:val="center"/>
      </w:pPr>
      <w:r>
        <w:rPr>
          <w:rFonts w:ascii="Arial" w:hAnsi="Arial" w:cs="Arial"/>
          <w:b/>
          <w:bCs/>
          <w:sz w:val="26"/>
          <w:szCs w:val="26"/>
        </w:rPr>
        <w:t>Rozdział III</w:t>
      </w:r>
    </w:p>
    <w:p w:rsidR="003B4095" w:rsidRDefault="003B4095" w:rsidP="003B4095">
      <w:pPr>
        <w:pStyle w:val="Standard"/>
        <w:spacing w:after="0"/>
        <w:jc w:val="center"/>
      </w:pPr>
      <w:r>
        <w:rPr>
          <w:rFonts w:ascii="Arial" w:hAnsi="Arial" w:cs="Arial"/>
          <w:b/>
          <w:sz w:val="24"/>
          <w:szCs w:val="24"/>
        </w:rPr>
        <w:t>Rozpatrywanie skarg i wniosków.</w:t>
      </w:r>
    </w:p>
    <w:p w:rsidR="003B4095" w:rsidRDefault="003B4095" w:rsidP="003B4095">
      <w:pPr>
        <w:pStyle w:val="Akapitzlist"/>
        <w:spacing w:after="0"/>
        <w:ind w:left="0"/>
        <w:rPr>
          <w:rFonts w:ascii="Arial" w:hAnsi="Arial" w:cs="Arial"/>
          <w:b/>
          <w:sz w:val="24"/>
          <w:szCs w:val="24"/>
        </w:rPr>
      </w:pPr>
    </w:p>
    <w:p w:rsidR="003B4095" w:rsidRDefault="003B4095" w:rsidP="003B4095">
      <w:pPr>
        <w:pStyle w:val="Standard"/>
        <w:spacing w:after="0"/>
        <w:ind w:left="15"/>
        <w:jc w:val="center"/>
        <w:rPr>
          <w:rFonts w:ascii="Arial" w:hAnsi="Arial" w:cs="Arial"/>
          <w:b/>
          <w:bCs/>
          <w:sz w:val="26"/>
          <w:szCs w:val="26"/>
        </w:rPr>
      </w:pPr>
      <w:r>
        <w:rPr>
          <w:rFonts w:ascii="Arial" w:hAnsi="Arial" w:cs="Arial"/>
          <w:b/>
          <w:bCs/>
          <w:sz w:val="24"/>
          <w:szCs w:val="24"/>
        </w:rPr>
        <w:t>§ 12</w:t>
      </w:r>
    </w:p>
    <w:p w:rsidR="003B4095" w:rsidRDefault="003B4095" w:rsidP="003B4095">
      <w:pPr>
        <w:pStyle w:val="Akapitzlist"/>
        <w:spacing w:after="0"/>
        <w:ind w:left="0"/>
        <w:jc w:val="both"/>
      </w:pPr>
      <w:r>
        <w:rPr>
          <w:rFonts w:ascii="Arial" w:hAnsi="Arial" w:cs="Arial"/>
          <w:sz w:val="24"/>
          <w:szCs w:val="24"/>
        </w:rPr>
        <w:t>Z wyjaśnienia skarg/wniosku należy sporządzić dokumentacje zawierającą:</w:t>
      </w:r>
    </w:p>
    <w:p w:rsidR="003B4095" w:rsidRDefault="003B4095" w:rsidP="003B4095">
      <w:pPr>
        <w:pStyle w:val="Akapitzlist"/>
        <w:spacing w:after="0"/>
        <w:ind w:left="0"/>
        <w:jc w:val="both"/>
      </w:pPr>
      <w:r>
        <w:rPr>
          <w:rFonts w:ascii="Arial" w:hAnsi="Arial" w:cs="Arial"/>
          <w:sz w:val="24"/>
          <w:szCs w:val="24"/>
        </w:rPr>
        <w:t>1. oryginał skargi/wniosku,</w:t>
      </w:r>
    </w:p>
    <w:p w:rsidR="003B4095" w:rsidRDefault="003B4095" w:rsidP="003B4095">
      <w:pPr>
        <w:pStyle w:val="Akapitzlist"/>
        <w:spacing w:after="0"/>
        <w:ind w:left="0"/>
        <w:jc w:val="both"/>
      </w:pPr>
      <w:r>
        <w:rPr>
          <w:rFonts w:ascii="Arial" w:hAnsi="Arial" w:cs="Arial"/>
          <w:sz w:val="24"/>
          <w:szCs w:val="24"/>
        </w:rPr>
        <w:t>2. notatkę służbową o sposobie załatwienia skargi/wniosku i wynikach postępowania wyjaśniającego,</w:t>
      </w:r>
    </w:p>
    <w:p w:rsidR="003B4095" w:rsidRDefault="003B4095" w:rsidP="003B4095">
      <w:pPr>
        <w:pStyle w:val="Akapitzlist"/>
        <w:spacing w:after="0"/>
        <w:ind w:left="0"/>
        <w:jc w:val="both"/>
      </w:pPr>
      <w:r>
        <w:rPr>
          <w:rFonts w:ascii="Arial" w:hAnsi="Arial" w:cs="Arial"/>
          <w:sz w:val="24"/>
          <w:szCs w:val="24"/>
        </w:rPr>
        <w:t>3. materiały pomocnicze zebrane w trakcie wyjaśnienia skargi/wniosku, oświadczenia, opinie, kserokopie dokumentów zebranych w ramach czynności wyjaśniających,</w:t>
      </w:r>
    </w:p>
    <w:p w:rsidR="003B4095" w:rsidRDefault="003B4095" w:rsidP="003B4095">
      <w:pPr>
        <w:pStyle w:val="Akapitzlist"/>
        <w:spacing w:after="0"/>
        <w:ind w:left="0"/>
        <w:jc w:val="both"/>
      </w:pPr>
      <w:r>
        <w:rPr>
          <w:rFonts w:ascii="Arial" w:hAnsi="Arial" w:cs="Arial"/>
          <w:sz w:val="24"/>
          <w:szCs w:val="24"/>
        </w:rPr>
        <w:lastRenderedPageBreak/>
        <w:t xml:space="preserve">4. odpowiedź do wnoszącego, informującą o sposobie rozstrzygnięcia sprawy wraz </w:t>
      </w:r>
      <w:r>
        <w:rPr>
          <w:rFonts w:ascii="Arial" w:hAnsi="Arial" w:cs="Arial"/>
          <w:sz w:val="24"/>
          <w:szCs w:val="24"/>
        </w:rPr>
        <w:br/>
        <w:t>z urzędowo potwierdzonym jej wysłaniem.</w:t>
      </w:r>
    </w:p>
    <w:p w:rsidR="003B4095" w:rsidRDefault="003B4095" w:rsidP="003B4095">
      <w:pPr>
        <w:pStyle w:val="Akapitzlist"/>
        <w:spacing w:after="0"/>
        <w:ind w:left="0"/>
        <w:jc w:val="both"/>
      </w:pPr>
    </w:p>
    <w:p w:rsidR="003B4095" w:rsidRDefault="003B4095" w:rsidP="003B4095">
      <w:pPr>
        <w:pStyle w:val="Standard"/>
        <w:spacing w:after="0"/>
        <w:ind w:left="15"/>
        <w:jc w:val="center"/>
        <w:rPr>
          <w:rFonts w:ascii="Arial" w:hAnsi="Arial" w:cs="Arial"/>
          <w:b/>
          <w:bCs/>
          <w:sz w:val="26"/>
          <w:szCs w:val="26"/>
        </w:rPr>
      </w:pPr>
      <w:r>
        <w:rPr>
          <w:rFonts w:ascii="Arial" w:hAnsi="Arial" w:cs="Arial"/>
          <w:b/>
          <w:bCs/>
          <w:sz w:val="24"/>
          <w:szCs w:val="24"/>
        </w:rPr>
        <w:t>§ 13</w:t>
      </w:r>
    </w:p>
    <w:p w:rsidR="003B4095" w:rsidRDefault="003B4095" w:rsidP="003B4095">
      <w:pPr>
        <w:pStyle w:val="Akapitzlist"/>
        <w:spacing w:after="0"/>
        <w:ind w:left="0"/>
        <w:jc w:val="both"/>
      </w:pPr>
      <w:r>
        <w:rPr>
          <w:rFonts w:ascii="Arial" w:hAnsi="Arial" w:cs="Arial"/>
          <w:sz w:val="24"/>
          <w:szCs w:val="24"/>
        </w:rPr>
        <w:t>Odpowiedź do wnoszącego  winna zawierać:</w:t>
      </w:r>
    </w:p>
    <w:p w:rsidR="003B4095" w:rsidRDefault="003B4095" w:rsidP="003B4095">
      <w:pPr>
        <w:pStyle w:val="Akapitzlist"/>
        <w:spacing w:after="0"/>
        <w:ind w:left="0"/>
        <w:jc w:val="both"/>
      </w:pPr>
      <w:r>
        <w:rPr>
          <w:rFonts w:ascii="Arial" w:hAnsi="Arial" w:cs="Arial"/>
          <w:sz w:val="24"/>
          <w:szCs w:val="24"/>
        </w:rPr>
        <w:t>1. wyczerpującą informację o sposobie załatwienia sprawy z odniesieniem się do wszystkich zarzutów zawartych w skardze/wniosku,</w:t>
      </w:r>
    </w:p>
    <w:p w:rsidR="003B4095" w:rsidRDefault="003B4095" w:rsidP="003B4095">
      <w:pPr>
        <w:pStyle w:val="Akapitzlist"/>
        <w:spacing w:after="0"/>
        <w:ind w:left="0"/>
        <w:jc w:val="both"/>
      </w:pPr>
      <w:r>
        <w:rPr>
          <w:rFonts w:ascii="Arial" w:hAnsi="Arial" w:cs="Arial"/>
          <w:sz w:val="24"/>
          <w:szCs w:val="24"/>
        </w:rPr>
        <w:t>2. faktyczne i prawne uzasadnienie, jeżeli skarga/wniosek zostały załatwione odmownie,</w:t>
      </w:r>
    </w:p>
    <w:p w:rsidR="003B4095" w:rsidRDefault="003B4095" w:rsidP="003B4095">
      <w:pPr>
        <w:pStyle w:val="Akapitzlist"/>
        <w:spacing w:after="0"/>
        <w:ind w:left="0"/>
        <w:jc w:val="both"/>
      </w:pPr>
    </w:p>
    <w:p w:rsidR="003B4095" w:rsidRDefault="003B4095" w:rsidP="003B4095">
      <w:pPr>
        <w:pStyle w:val="Standard"/>
        <w:spacing w:after="0"/>
        <w:ind w:left="15"/>
        <w:jc w:val="center"/>
        <w:rPr>
          <w:rFonts w:ascii="Arial" w:hAnsi="Arial" w:cs="Arial"/>
          <w:b/>
          <w:bCs/>
          <w:sz w:val="26"/>
          <w:szCs w:val="26"/>
        </w:rPr>
      </w:pPr>
      <w:r>
        <w:rPr>
          <w:rFonts w:ascii="Arial" w:hAnsi="Arial" w:cs="Arial"/>
          <w:b/>
          <w:bCs/>
          <w:sz w:val="24"/>
          <w:szCs w:val="24"/>
        </w:rPr>
        <w:t>§ 14</w:t>
      </w:r>
    </w:p>
    <w:p w:rsidR="003B4095" w:rsidRDefault="003B4095" w:rsidP="003B4095">
      <w:pPr>
        <w:pStyle w:val="Akapitzlist"/>
        <w:spacing w:after="0"/>
        <w:ind w:left="0"/>
        <w:jc w:val="both"/>
      </w:pPr>
      <w:r>
        <w:rPr>
          <w:rFonts w:ascii="Arial" w:hAnsi="Arial" w:cs="Arial"/>
          <w:sz w:val="24"/>
          <w:szCs w:val="24"/>
        </w:rPr>
        <w:t>Pełną dokumentację, po zakończeniu sprawy przechowuje się w siedzibie jednostki.</w:t>
      </w:r>
    </w:p>
    <w:p w:rsidR="003B4095" w:rsidRDefault="003B4095" w:rsidP="003B4095">
      <w:pPr>
        <w:pStyle w:val="Akapitzlist"/>
        <w:spacing w:after="0"/>
        <w:ind w:left="0"/>
        <w:jc w:val="both"/>
      </w:pPr>
    </w:p>
    <w:p w:rsidR="003B4095" w:rsidRDefault="003B4095" w:rsidP="003B4095">
      <w:pPr>
        <w:pStyle w:val="Standard"/>
        <w:spacing w:after="0"/>
        <w:ind w:left="15"/>
        <w:jc w:val="center"/>
        <w:rPr>
          <w:rFonts w:ascii="Arial" w:hAnsi="Arial" w:cs="Arial"/>
          <w:b/>
          <w:bCs/>
          <w:sz w:val="26"/>
          <w:szCs w:val="26"/>
        </w:rPr>
      </w:pPr>
      <w:r>
        <w:rPr>
          <w:rFonts w:ascii="Arial" w:hAnsi="Arial" w:cs="Arial"/>
          <w:b/>
          <w:bCs/>
          <w:sz w:val="24"/>
          <w:szCs w:val="24"/>
        </w:rPr>
        <w:t>§ 15</w:t>
      </w:r>
    </w:p>
    <w:p w:rsidR="003B4095" w:rsidRDefault="003B4095" w:rsidP="003B4095">
      <w:pPr>
        <w:pStyle w:val="Akapitzlist"/>
        <w:spacing w:after="0"/>
        <w:ind w:left="0"/>
        <w:jc w:val="both"/>
      </w:pPr>
      <w:r>
        <w:rPr>
          <w:rFonts w:ascii="Arial" w:hAnsi="Arial" w:cs="Arial"/>
          <w:sz w:val="24"/>
          <w:szCs w:val="24"/>
        </w:rPr>
        <w:t>Kontrolę z wykonania ewentualnych zaleceń przeprowadza Kierownik.</w:t>
      </w:r>
    </w:p>
    <w:p w:rsidR="003B4095" w:rsidRDefault="003B4095" w:rsidP="003B4095">
      <w:pPr>
        <w:pStyle w:val="Akapitzlist"/>
        <w:spacing w:after="0"/>
        <w:ind w:left="0"/>
        <w:jc w:val="both"/>
      </w:pPr>
    </w:p>
    <w:p w:rsidR="003B4095" w:rsidRDefault="003B4095" w:rsidP="003B4095">
      <w:pPr>
        <w:pStyle w:val="Standard"/>
        <w:spacing w:after="0"/>
        <w:ind w:left="15"/>
        <w:jc w:val="center"/>
        <w:rPr>
          <w:rFonts w:ascii="Arial" w:hAnsi="Arial" w:cs="Arial"/>
          <w:b/>
          <w:bCs/>
          <w:sz w:val="26"/>
          <w:szCs w:val="26"/>
        </w:rPr>
      </w:pPr>
      <w:r>
        <w:rPr>
          <w:rFonts w:ascii="Arial" w:hAnsi="Arial" w:cs="Arial"/>
          <w:b/>
          <w:bCs/>
          <w:sz w:val="24"/>
          <w:szCs w:val="24"/>
        </w:rPr>
        <w:t>§ 16</w:t>
      </w:r>
    </w:p>
    <w:p w:rsidR="003B4095" w:rsidRDefault="003B4095" w:rsidP="003B4095">
      <w:pPr>
        <w:pStyle w:val="Akapitzlist"/>
        <w:spacing w:after="0"/>
        <w:ind w:left="0"/>
        <w:jc w:val="both"/>
      </w:pPr>
      <w:r>
        <w:rPr>
          <w:rFonts w:ascii="Arial" w:hAnsi="Arial" w:cs="Arial"/>
          <w:sz w:val="24"/>
          <w:szCs w:val="24"/>
        </w:rPr>
        <w:t>Za jakość i prawidłowe wykonanie, załatwienie skargi/wniosku odpowiada osoba, na które dekretowano skargę/wniosek.</w:t>
      </w:r>
    </w:p>
    <w:p w:rsidR="003B4095" w:rsidRDefault="003B4095" w:rsidP="003B4095">
      <w:pPr>
        <w:pStyle w:val="Akapitzlist"/>
        <w:spacing w:after="0"/>
        <w:ind w:left="0"/>
        <w:jc w:val="both"/>
      </w:pPr>
    </w:p>
    <w:p w:rsidR="003B4095" w:rsidRDefault="003B4095" w:rsidP="003B4095">
      <w:pPr>
        <w:pStyle w:val="Standard"/>
        <w:spacing w:after="0"/>
        <w:ind w:left="15"/>
        <w:jc w:val="center"/>
        <w:rPr>
          <w:rFonts w:ascii="Arial" w:hAnsi="Arial" w:cs="Arial"/>
          <w:b/>
          <w:bCs/>
          <w:sz w:val="26"/>
          <w:szCs w:val="26"/>
        </w:rPr>
      </w:pPr>
      <w:r>
        <w:rPr>
          <w:rFonts w:ascii="Arial" w:hAnsi="Arial" w:cs="Arial"/>
          <w:b/>
          <w:bCs/>
          <w:sz w:val="24"/>
          <w:szCs w:val="24"/>
        </w:rPr>
        <w:t>§ 17</w:t>
      </w:r>
    </w:p>
    <w:p w:rsidR="003B4095" w:rsidRDefault="003B4095" w:rsidP="003B4095">
      <w:pPr>
        <w:pStyle w:val="Akapitzlist"/>
        <w:spacing w:after="0"/>
        <w:ind w:left="0"/>
        <w:jc w:val="both"/>
      </w:pPr>
      <w:r>
        <w:rPr>
          <w:rFonts w:ascii="Arial" w:hAnsi="Arial" w:cs="Arial"/>
          <w:sz w:val="24"/>
          <w:szCs w:val="24"/>
        </w:rPr>
        <w:t>Kontrolę nad realizacją skarg /wniosków sprawuje Kierownik.</w:t>
      </w:r>
    </w:p>
    <w:p w:rsidR="003B4095" w:rsidRDefault="003B4095" w:rsidP="003B4095">
      <w:pPr>
        <w:pStyle w:val="Standard"/>
        <w:spacing w:after="0"/>
        <w:jc w:val="both"/>
        <w:rPr>
          <w:rFonts w:ascii="Arial" w:hAnsi="Arial" w:cs="Arial"/>
          <w:sz w:val="24"/>
          <w:szCs w:val="24"/>
        </w:rPr>
      </w:pPr>
    </w:p>
    <w:p w:rsidR="003B4095" w:rsidRDefault="003B4095" w:rsidP="003B4095">
      <w:pPr>
        <w:pStyle w:val="Standard"/>
        <w:spacing w:after="0"/>
        <w:jc w:val="both"/>
      </w:pPr>
    </w:p>
    <w:p w:rsidR="003B4095" w:rsidRDefault="003B4095" w:rsidP="003B4095">
      <w:pPr>
        <w:pStyle w:val="Standard"/>
        <w:spacing w:after="0"/>
        <w:jc w:val="center"/>
      </w:pPr>
      <w:r>
        <w:rPr>
          <w:rFonts w:ascii="Arial" w:hAnsi="Arial" w:cs="Arial"/>
          <w:b/>
          <w:bCs/>
          <w:sz w:val="26"/>
          <w:szCs w:val="26"/>
        </w:rPr>
        <w:t>Rozdział IV</w:t>
      </w:r>
    </w:p>
    <w:p w:rsidR="003B4095" w:rsidRDefault="003B4095" w:rsidP="003B4095">
      <w:pPr>
        <w:pStyle w:val="Standard"/>
        <w:spacing w:after="0"/>
        <w:jc w:val="center"/>
      </w:pPr>
      <w:r>
        <w:rPr>
          <w:rFonts w:ascii="Arial" w:hAnsi="Arial" w:cs="Arial"/>
          <w:b/>
          <w:sz w:val="24"/>
          <w:szCs w:val="24"/>
        </w:rPr>
        <w:t>Terminy rozpatrywania skarg i wniosków.</w:t>
      </w:r>
    </w:p>
    <w:p w:rsidR="003B4095" w:rsidRDefault="003B4095" w:rsidP="003B4095">
      <w:pPr>
        <w:pStyle w:val="Akapitzlist"/>
        <w:spacing w:after="0"/>
        <w:jc w:val="both"/>
        <w:rPr>
          <w:rFonts w:ascii="Arial" w:hAnsi="Arial" w:cs="Arial"/>
          <w:sz w:val="24"/>
          <w:szCs w:val="24"/>
        </w:rPr>
      </w:pPr>
    </w:p>
    <w:p w:rsidR="003B4095" w:rsidRDefault="003B4095" w:rsidP="003B4095">
      <w:pPr>
        <w:pStyle w:val="Standard"/>
        <w:spacing w:after="0"/>
        <w:ind w:left="15"/>
        <w:jc w:val="center"/>
        <w:rPr>
          <w:rFonts w:ascii="Arial" w:hAnsi="Arial" w:cs="Arial"/>
          <w:b/>
          <w:bCs/>
          <w:sz w:val="26"/>
          <w:szCs w:val="26"/>
        </w:rPr>
      </w:pPr>
      <w:r>
        <w:rPr>
          <w:rFonts w:ascii="Arial" w:hAnsi="Arial" w:cs="Arial"/>
          <w:b/>
          <w:bCs/>
          <w:sz w:val="24"/>
          <w:szCs w:val="24"/>
        </w:rPr>
        <w:t>§ 18</w:t>
      </w:r>
    </w:p>
    <w:p w:rsidR="003B4095" w:rsidRDefault="003B4095" w:rsidP="003B4095">
      <w:pPr>
        <w:pStyle w:val="Akapitzlist"/>
        <w:spacing w:after="0"/>
        <w:ind w:left="0"/>
        <w:jc w:val="both"/>
      </w:pPr>
      <w:r>
        <w:rPr>
          <w:rFonts w:ascii="Arial" w:hAnsi="Arial" w:cs="Arial"/>
          <w:sz w:val="24"/>
          <w:szCs w:val="24"/>
        </w:rPr>
        <w:t>Dzienny Dom „Senior–Wigor” obowiązany jest załatwić sprawy bez zbędnej zwłoki.</w:t>
      </w:r>
    </w:p>
    <w:p w:rsidR="003B4095" w:rsidRDefault="003B4095" w:rsidP="003B4095">
      <w:pPr>
        <w:pStyle w:val="Akapitzlist"/>
        <w:spacing w:after="0"/>
        <w:ind w:left="0"/>
        <w:jc w:val="both"/>
      </w:pPr>
    </w:p>
    <w:p w:rsidR="003B4095" w:rsidRDefault="003B4095" w:rsidP="003B4095">
      <w:pPr>
        <w:pStyle w:val="Standard"/>
        <w:spacing w:after="0"/>
        <w:ind w:left="15"/>
        <w:jc w:val="center"/>
        <w:rPr>
          <w:rFonts w:ascii="Arial" w:hAnsi="Arial" w:cs="Arial"/>
          <w:b/>
          <w:bCs/>
          <w:sz w:val="26"/>
          <w:szCs w:val="26"/>
        </w:rPr>
      </w:pPr>
      <w:r>
        <w:rPr>
          <w:rFonts w:ascii="Arial" w:hAnsi="Arial" w:cs="Arial"/>
          <w:b/>
          <w:bCs/>
          <w:sz w:val="24"/>
          <w:szCs w:val="24"/>
        </w:rPr>
        <w:t>§ 19</w:t>
      </w:r>
    </w:p>
    <w:p w:rsidR="003B4095" w:rsidRDefault="003B4095" w:rsidP="003B4095">
      <w:pPr>
        <w:pStyle w:val="Akapitzlist"/>
        <w:spacing w:after="0"/>
        <w:ind w:left="0"/>
        <w:jc w:val="both"/>
      </w:pPr>
      <w:r>
        <w:rPr>
          <w:rFonts w:ascii="Arial" w:hAnsi="Arial" w:cs="Arial"/>
          <w:sz w:val="24"/>
          <w:szCs w:val="24"/>
        </w:rPr>
        <w:t xml:space="preserve">Sprawy, które można niezwłocznie załatwić to takie, które mogą być rozpatrzone </w:t>
      </w:r>
      <w:r>
        <w:rPr>
          <w:rFonts w:ascii="Arial" w:hAnsi="Arial" w:cs="Arial"/>
          <w:sz w:val="24"/>
          <w:szCs w:val="24"/>
        </w:rPr>
        <w:br/>
        <w:t>w oparciu o dowody przedstawione przez stronę, bądź możliwe do ustalenia na podstawie danych, którymi rozporządza Dzienny Dom „Senior-Wigor” w Sławkowie.</w:t>
      </w:r>
    </w:p>
    <w:p w:rsidR="003B4095" w:rsidRDefault="003B4095" w:rsidP="003B4095">
      <w:pPr>
        <w:pStyle w:val="Akapitzlist"/>
        <w:spacing w:after="0"/>
        <w:ind w:left="0"/>
      </w:pPr>
    </w:p>
    <w:p w:rsidR="003B4095" w:rsidRDefault="003B4095" w:rsidP="003B4095">
      <w:pPr>
        <w:pStyle w:val="Standard"/>
        <w:spacing w:after="0"/>
        <w:ind w:left="15"/>
        <w:jc w:val="center"/>
        <w:rPr>
          <w:rFonts w:ascii="Arial" w:hAnsi="Arial" w:cs="Arial"/>
          <w:b/>
          <w:bCs/>
          <w:sz w:val="26"/>
          <w:szCs w:val="26"/>
        </w:rPr>
      </w:pPr>
      <w:r>
        <w:rPr>
          <w:rFonts w:ascii="Arial" w:hAnsi="Arial" w:cs="Arial"/>
          <w:b/>
          <w:bCs/>
          <w:sz w:val="24"/>
          <w:szCs w:val="24"/>
        </w:rPr>
        <w:t>§ 20</w:t>
      </w:r>
    </w:p>
    <w:p w:rsidR="003B4095" w:rsidRDefault="003B4095" w:rsidP="003B4095">
      <w:pPr>
        <w:pStyle w:val="Akapitzlist"/>
        <w:spacing w:after="0"/>
        <w:ind w:left="0"/>
        <w:jc w:val="both"/>
      </w:pPr>
      <w:r>
        <w:rPr>
          <w:rFonts w:ascii="Arial" w:hAnsi="Arial" w:cs="Arial"/>
          <w:sz w:val="24"/>
          <w:szCs w:val="24"/>
        </w:rPr>
        <w:t xml:space="preserve">Załatwienie sprawy wymagającej postępowania wyjaśniającego powinno nastąpić nie później niż w ciągu miesiąca, a sprawy szczególnie skomplikowanej nie później niż </w:t>
      </w:r>
      <w:r>
        <w:rPr>
          <w:rFonts w:ascii="Arial" w:hAnsi="Arial" w:cs="Arial"/>
          <w:sz w:val="24"/>
          <w:szCs w:val="24"/>
        </w:rPr>
        <w:br/>
        <w:t>w ciągu dwóch miesięcy od dnia wszczęcia postępowania zaś w postępowaniu odwoławczym – w ciągu miesiąca od dnia otrzymania odwołania.</w:t>
      </w:r>
    </w:p>
    <w:p w:rsidR="003B4095" w:rsidRDefault="003B4095" w:rsidP="003B4095">
      <w:pPr>
        <w:pStyle w:val="Akapitzlist"/>
        <w:spacing w:after="0"/>
        <w:ind w:left="0"/>
        <w:jc w:val="both"/>
      </w:pPr>
    </w:p>
    <w:p w:rsidR="003B4095" w:rsidRDefault="003B4095" w:rsidP="003B4095">
      <w:pPr>
        <w:pStyle w:val="Standard"/>
        <w:spacing w:after="0"/>
        <w:ind w:left="15"/>
        <w:jc w:val="center"/>
        <w:rPr>
          <w:rFonts w:ascii="Arial" w:hAnsi="Arial" w:cs="Arial"/>
          <w:b/>
          <w:bCs/>
          <w:sz w:val="26"/>
          <w:szCs w:val="26"/>
        </w:rPr>
      </w:pPr>
      <w:r>
        <w:rPr>
          <w:rFonts w:ascii="Arial" w:hAnsi="Arial" w:cs="Arial"/>
          <w:b/>
          <w:bCs/>
          <w:sz w:val="24"/>
          <w:szCs w:val="24"/>
        </w:rPr>
        <w:t>§ 21</w:t>
      </w:r>
    </w:p>
    <w:p w:rsidR="003B4095" w:rsidRDefault="003B4095" w:rsidP="003B4095">
      <w:pPr>
        <w:pStyle w:val="Akapitzlist"/>
        <w:spacing w:after="0"/>
        <w:ind w:left="0"/>
        <w:jc w:val="both"/>
      </w:pPr>
      <w:r>
        <w:rPr>
          <w:rFonts w:ascii="Arial" w:hAnsi="Arial" w:cs="Arial"/>
          <w:sz w:val="24"/>
          <w:szCs w:val="24"/>
        </w:rPr>
        <w:lastRenderedPageBreak/>
        <w:t xml:space="preserve">O każdym przypadku niezałatwienia sprawy w terminie Dzienny Dom „Senior–Wigor” w Sławkowie jest obowiązany zawiadomić strony, podając przyczyny zwłoki </w:t>
      </w:r>
      <w:r>
        <w:rPr>
          <w:rFonts w:ascii="Arial" w:hAnsi="Arial" w:cs="Arial"/>
          <w:sz w:val="24"/>
          <w:szCs w:val="24"/>
        </w:rPr>
        <w:br/>
        <w:t>i wskazując nowy termin załatwienia sprawy.</w:t>
      </w:r>
    </w:p>
    <w:p w:rsidR="003B4095" w:rsidRDefault="003B4095" w:rsidP="003B4095">
      <w:pPr>
        <w:pStyle w:val="Standard"/>
        <w:spacing w:after="0"/>
        <w:ind w:left="1134"/>
        <w:rPr>
          <w:rFonts w:ascii="Arial" w:hAnsi="Arial" w:cs="Arial"/>
          <w:sz w:val="24"/>
          <w:szCs w:val="24"/>
        </w:rPr>
      </w:pPr>
    </w:p>
    <w:p w:rsidR="003B4095" w:rsidRDefault="003B4095" w:rsidP="003B4095">
      <w:pPr>
        <w:pStyle w:val="Standard"/>
        <w:spacing w:after="0"/>
      </w:pPr>
    </w:p>
    <w:p w:rsidR="003B4095" w:rsidRDefault="003B4095" w:rsidP="003B4095">
      <w:pPr>
        <w:pStyle w:val="Standard"/>
        <w:spacing w:after="0"/>
        <w:jc w:val="center"/>
      </w:pPr>
      <w:r>
        <w:rPr>
          <w:rFonts w:ascii="Arial" w:hAnsi="Arial" w:cs="Arial"/>
          <w:b/>
          <w:bCs/>
          <w:sz w:val="26"/>
          <w:szCs w:val="26"/>
        </w:rPr>
        <w:t>Rozdział V</w:t>
      </w:r>
    </w:p>
    <w:p w:rsidR="003B4095" w:rsidRDefault="003B4095" w:rsidP="003B4095">
      <w:pPr>
        <w:pStyle w:val="Standard"/>
        <w:spacing w:after="0"/>
        <w:jc w:val="center"/>
      </w:pPr>
      <w:r>
        <w:rPr>
          <w:rFonts w:ascii="Arial" w:hAnsi="Arial" w:cs="Arial"/>
          <w:b/>
          <w:sz w:val="24"/>
          <w:szCs w:val="24"/>
        </w:rPr>
        <w:t>Postanowienia końcowe.</w:t>
      </w:r>
    </w:p>
    <w:p w:rsidR="003B4095" w:rsidRDefault="003B4095" w:rsidP="003B4095">
      <w:pPr>
        <w:pStyle w:val="Standard"/>
        <w:spacing w:after="0"/>
        <w:rPr>
          <w:rFonts w:ascii="Arial" w:hAnsi="Arial" w:cs="Arial"/>
          <w:b/>
          <w:sz w:val="24"/>
          <w:szCs w:val="24"/>
        </w:rPr>
      </w:pPr>
    </w:p>
    <w:p w:rsidR="003B4095" w:rsidRDefault="003B4095" w:rsidP="003B4095">
      <w:pPr>
        <w:pStyle w:val="Standard"/>
        <w:spacing w:after="0"/>
        <w:ind w:left="15"/>
        <w:jc w:val="center"/>
        <w:rPr>
          <w:rFonts w:ascii="Arial" w:hAnsi="Arial" w:cs="Arial"/>
          <w:b/>
          <w:bCs/>
          <w:sz w:val="26"/>
          <w:szCs w:val="26"/>
        </w:rPr>
      </w:pPr>
      <w:r>
        <w:rPr>
          <w:rFonts w:ascii="Arial" w:hAnsi="Arial" w:cs="Arial"/>
          <w:b/>
          <w:bCs/>
          <w:sz w:val="24"/>
          <w:szCs w:val="24"/>
        </w:rPr>
        <w:t>§ 22</w:t>
      </w:r>
    </w:p>
    <w:p w:rsidR="003B4095" w:rsidRDefault="003B4095" w:rsidP="003B4095">
      <w:pPr>
        <w:pStyle w:val="Standard"/>
        <w:spacing w:after="0"/>
        <w:jc w:val="both"/>
      </w:pPr>
      <w:r>
        <w:rPr>
          <w:rFonts w:ascii="Arial" w:hAnsi="Arial" w:cs="Arial"/>
          <w:sz w:val="24"/>
          <w:szCs w:val="24"/>
        </w:rPr>
        <w:t>Informację o przyjmowaniu skarg lub wniosków umieszcza się na stronie internetowej oraz na tablicy ogłoszeń Dziennego Domu „Senior–Wigor” w Sławkowie.</w:t>
      </w:r>
    </w:p>
    <w:p w:rsidR="003B4095" w:rsidRDefault="003B4095">
      <w:bookmarkStart w:id="0" w:name="_GoBack"/>
      <w:bookmarkEnd w:id="0"/>
    </w:p>
    <w:sectPr w:rsidR="003B4095">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61B"/>
    <w:rsid w:val="003B4095"/>
    <w:rsid w:val="005B3117"/>
    <w:rsid w:val="007D178F"/>
    <w:rsid w:val="00E036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772C0-143A-4491-8BDB-198A8761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B4095"/>
    <w:pPr>
      <w:suppressAutoHyphens/>
      <w:autoSpaceDN w:val="0"/>
      <w:spacing w:after="200" w:line="276" w:lineRule="auto"/>
      <w:textAlignment w:val="baseline"/>
    </w:pPr>
    <w:rPr>
      <w:rFonts w:ascii="Calibri" w:eastAsia="SimSun" w:hAnsi="Calibri" w:cs="F"/>
      <w:kern w:val="3"/>
    </w:rPr>
  </w:style>
  <w:style w:type="paragraph" w:styleId="Akapitzlist">
    <w:name w:val="List Paragraph"/>
    <w:basedOn w:val="Standard"/>
    <w:rsid w:val="003B409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825</Words>
  <Characters>4955</Characters>
  <Application>Microsoft Office Word</Application>
  <DocSecurity>0</DocSecurity>
  <Lines>41</Lines>
  <Paragraphs>11</Paragraphs>
  <ScaleCrop>false</ScaleCrop>
  <Company/>
  <LinksUpToDate>false</LinksUpToDate>
  <CharactersWithSpaces>5769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 Szreter</dc:creator>
  <cp:keywords/>
  <dc:description/>
  <cp:lastModifiedBy>Pawel Szreter</cp:lastModifiedBy>
  <cp:revision>2</cp:revision>
  <dcterms:created xsi:type="dcterms:W3CDTF">2016-05-18T07:45:00Z</dcterms:created>
  <dcterms:modified xsi:type="dcterms:W3CDTF">2016-05-18T07:45:00Z</dcterms:modified>
</cp:coreProperties>
</file>