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1F" w:rsidRDefault="0012366C" w:rsidP="0064634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6571F">
        <w:rPr>
          <w:rFonts w:ascii="Arial" w:hAnsi="Arial" w:cs="Arial"/>
          <w:sz w:val="16"/>
          <w:szCs w:val="16"/>
        </w:rPr>
        <w:t xml:space="preserve">         </w:t>
      </w:r>
      <w:r w:rsidR="0077051B" w:rsidRPr="0056571F">
        <w:rPr>
          <w:rFonts w:ascii="Arial" w:hAnsi="Arial" w:cs="Arial"/>
          <w:sz w:val="16"/>
          <w:szCs w:val="16"/>
        </w:rPr>
        <w:t xml:space="preserve">         </w:t>
      </w:r>
      <w:r w:rsidRPr="0056571F">
        <w:rPr>
          <w:rFonts w:ascii="Arial" w:hAnsi="Arial" w:cs="Arial"/>
          <w:sz w:val="16"/>
          <w:szCs w:val="16"/>
        </w:rPr>
        <w:t xml:space="preserve"> </w:t>
      </w:r>
      <w:r w:rsidR="0056571F" w:rsidRPr="0056571F"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56571F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C26906">
        <w:rPr>
          <w:rFonts w:ascii="Arial" w:hAnsi="Arial" w:cs="Arial"/>
          <w:sz w:val="16"/>
          <w:szCs w:val="16"/>
        </w:rPr>
        <w:t xml:space="preserve"> </w:t>
      </w:r>
      <w:r w:rsidR="00763181">
        <w:rPr>
          <w:rFonts w:ascii="Arial" w:hAnsi="Arial" w:cs="Arial"/>
          <w:sz w:val="16"/>
          <w:szCs w:val="16"/>
        </w:rPr>
        <w:t xml:space="preserve">   </w:t>
      </w:r>
      <w:r w:rsidR="00432F88">
        <w:rPr>
          <w:rFonts w:ascii="Arial" w:hAnsi="Arial" w:cs="Arial"/>
          <w:sz w:val="16"/>
          <w:szCs w:val="16"/>
        </w:rPr>
        <w:t xml:space="preserve">          </w:t>
      </w:r>
      <w:r w:rsidR="00C26906">
        <w:rPr>
          <w:rFonts w:ascii="Arial" w:hAnsi="Arial" w:cs="Arial"/>
          <w:sz w:val="16"/>
          <w:szCs w:val="16"/>
        </w:rPr>
        <w:t xml:space="preserve">Załącznik Nr </w:t>
      </w:r>
      <w:r w:rsidR="0056571F" w:rsidRPr="0056571F">
        <w:rPr>
          <w:rFonts w:ascii="Arial" w:hAnsi="Arial" w:cs="Arial"/>
          <w:sz w:val="16"/>
          <w:szCs w:val="16"/>
        </w:rPr>
        <w:t xml:space="preserve">2 </w:t>
      </w:r>
      <w:r w:rsidR="00265AAF">
        <w:rPr>
          <w:rFonts w:ascii="Arial" w:hAnsi="Arial" w:cs="Arial"/>
          <w:sz w:val="16"/>
          <w:szCs w:val="16"/>
        </w:rPr>
        <w:t xml:space="preserve"> do Zarządzenia  Nr </w:t>
      </w:r>
      <w:r w:rsidR="000B0317">
        <w:rPr>
          <w:rFonts w:ascii="Arial" w:hAnsi="Arial" w:cs="Arial"/>
          <w:sz w:val="16"/>
          <w:szCs w:val="16"/>
        </w:rPr>
        <w:t>8/2018</w:t>
      </w:r>
    </w:p>
    <w:p w:rsidR="0056571F" w:rsidRDefault="0056571F" w:rsidP="006463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743B2D">
        <w:rPr>
          <w:rFonts w:ascii="Arial" w:hAnsi="Arial" w:cs="Arial"/>
          <w:sz w:val="16"/>
          <w:szCs w:val="16"/>
        </w:rPr>
        <w:t xml:space="preserve">                           </w:t>
      </w:r>
      <w:r w:rsidR="00C26906">
        <w:rPr>
          <w:rFonts w:ascii="Arial" w:hAnsi="Arial" w:cs="Arial"/>
          <w:sz w:val="16"/>
          <w:szCs w:val="16"/>
        </w:rPr>
        <w:t xml:space="preserve">    </w:t>
      </w:r>
      <w:r w:rsidR="00743B2D">
        <w:rPr>
          <w:rFonts w:ascii="Arial" w:hAnsi="Arial" w:cs="Arial"/>
          <w:sz w:val="16"/>
          <w:szCs w:val="16"/>
        </w:rPr>
        <w:t xml:space="preserve">   </w:t>
      </w:r>
      <w:r w:rsidR="00763181">
        <w:rPr>
          <w:rFonts w:ascii="Arial" w:hAnsi="Arial" w:cs="Arial"/>
          <w:sz w:val="16"/>
          <w:szCs w:val="16"/>
        </w:rPr>
        <w:t xml:space="preserve">       </w:t>
      </w:r>
      <w:r w:rsidR="002E4684">
        <w:rPr>
          <w:rFonts w:ascii="Arial" w:hAnsi="Arial" w:cs="Arial"/>
          <w:sz w:val="16"/>
          <w:szCs w:val="16"/>
        </w:rPr>
        <w:t>z</w:t>
      </w:r>
      <w:r w:rsidR="00745ECF">
        <w:rPr>
          <w:rFonts w:ascii="Arial" w:hAnsi="Arial" w:cs="Arial"/>
          <w:sz w:val="16"/>
          <w:szCs w:val="16"/>
        </w:rPr>
        <w:t xml:space="preserve"> </w:t>
      </w:r>
      <w:r w:rsidR="00017FD3">
        <w:rPr>
          <w:rFonts w:ascii="Arial" w:hAnsi="Arial" w:cs="Arial"/>
          <w:sz w:val="16"/>
          <w:szCs w:val="16"/>
        </w:rPr>
        <w:t>dnia</w:t>
      </w:r>
      <w:r w:rsidR="005E5384">
        <w:rPr>
          <w:rFonts w:ascii="Arial" w:hAnsi="Arial" w:cs="Arial"/>
          <w:sz w:val="16"/>
          <w:szCs w:val="16"/>
        </w:rPr>
        <w:t xml:space="preserve"> </w:t>
      </w:r>
      <w:r w:rsidR="000B0317">
        <w:rPr>
          <w:rFonts w:ascii="Arial" w:hAnsi="Arial" w:cs="Arial"/>
          <w:sz w:val="16"/>
          <w:szCs w:val="16"/>
        </w:rPr>
        <w:t>31.12.2018</w:t>
      </w:r>
    </w:p>
    <w:p w:rsidR="00763181" w:rsidRDefault="0056571F" w:rsidP="006463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26906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763181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Kierownika DDSW </w:t>
      </w:r>
    </w:p>
    <w:p w:rsidR="0056571F" w:rsidRPr="0056571F" w:rsidRDefault="00763181" w:rsidP="006463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56571F">
        <w:rPr>
          <w:rFonts w:ascii="Arial" w:hAnsi="Arial" w:cs="Arial"/>
          <w:sz w:val="16"/>
          <w:szCs w:val="16"/>
        </w:rPr>
        <w:t xml:space="preserve"> w Sławkowie</w:t>
      </w:r>
    </w:p>
    <w:p w:rsidR="000D760F" w:rsidRPr="0077051B" w:rsidRDefault="009E0496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    </w:t>
      </w:r>
    </w:p>
    <w:p w:rsidR="0056571F" w:rsidRPr="0056571F" w:rsidRDefault="0056571F" w:rsidP="00940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401F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401FA">
        <w:rPr>
          <w:rFonts w:ascii="Arial" w:hAnsi="Arial" w:cs="Arial"/>
          <w:b/>
          <w:sz w:val="24"/>
          <w:szCs w:val="24"/>
        </w:rPr>
        <w:t>ZAKŁADOWY PLAN KONT</w:t>
      </w:r>
    </w:p>
    <w:p w:rsidR="0056571F" w:rsidRPr="0056571F" w:rsidRDefault="0056571F" w:rsidP="0064634B">
      <w:pPr>
        <w:rPr>
          <w:rFonts w:ascii="Arial" w:hAnsi="Arial" w:cs="Arial"/>
          <w:b/>
          <w:sz w:val="24"/>
          <w:szCs w:val="24"/>
        </w:rPr>
      </w:pPr>
      <w:r w:rsidRPr="0056571F">
        <w:rPr>
          <w:rFonts w:ascii="Arial" w:hAnsi="Arial" w:cs="Arial"/>
          <w:b/>
          <w:sz w:val="24"/>
          <w:szCs w:val="24"/>
        </w:rPr>
        <w:t xml:space="preserve">                                    Dziennym Domu ,, Senior-Wigor,,</w:t>
      </w:r>
    </w:p>
    <w:p w:rsidR="0056571F" w:rsidRPr="0056571F" w:rsidRDefault="0056571F" w:rsidP="0064634B">
      <w:pPr>
        <w:rPr>
          <w:rFonts w:ascii="Arial" w:hAnsi="Arial" w:cs="Arial"/>
          <w:b/>
          <w:sz w:val="24"/>
          <w:szCs w:val="24"/>
        </w:rPr>
      </w:pPr>
      <w:r w:rsidRPr="0056571F">
        <w:rPr>
          <w:rFonts w:ascii="Arial" w:hAnsi="Arial" w:cs="Arial"/>
          <w:b/>
          <w:sz w:val="24"/>
          <w:szCs w:val="24"/>
        </w:rPr>
        <w:t xml:space="preserve">                                                       w Sławkowie</w:t>
      </w:r>
    </w:p>
    <w:p w:rsidR="000D760F" w:rsidRPr="0056571F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Wykaz kont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12366C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(według załącznika Nr 3</w:t>
      </w:r>
      <w:r w:rsidR="000D760F" w:rsidRPr="0077051B">
        <w:rPr>
          <w:rFonts w:ascii="Arial" w:hAnsi="Arial" w:cs="Arial"/>
          <w:sz w:val="24"/>
          <w:szCs w:val="24"/>
        </w:rPr>
        <w:t xml:space="preserve"> do rozporządzen</w:t>
      </w:r>
      <w:r w:rsidRPr="0077051B">
        <w:rPr>
          <w:rFonts w:ascii="Arial" w:hAnsi="Arial" w:cs="Arial"/>
          <w:sz w:val="24"/>
          <w:szCs w:val="24"/>
        </w:rPr>
        <w:t>ia Ministra</w:t>
      </w:r>
      <w:r w:rsidR="0064634B">
        <w:rPr>
          <w:rFonts w:ascii="Arial" w:hAnsi="Arial" w:cs="Arial"/>
          <w:sz w:val="24"/>
          <w:szCs w:val="24"/>
        </w:rPr>
        <w:t xml:space="preserve"> Rozwoju i</w:t>
      </w:r>
      <w:r w:rsidR="00CE37B5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 xml:space="preserve">Finansów z </w:t>
      </w:r>
      <w:r w:rsidR="0064634B">
        <w:rPr>
          <w:rFonts w:ascii="Arial" w:hAnsi="Arial" w:cs="Arial"/>
          <w:sz w:val="24"/>
          <w:szCs w:val="24"/>
        </w:rPr>
        <w:t>dnia 13 pażdziernka</w:t>
      </w:r>
      <w:r w:rsidR="000D760F" w:rsidRPr="0077051B">
        <w:rPr>
          <w:rFonts w:ascii="Arial" w:hAnsi="Arial" w:cs="Arial"/>
          <w:sz w:val="24"/>
          <w:szCs w:val="24"/>
        </w:rPr>
        <w:t xml:space="preserve"> </w:t>
      </w:r>
      <w:r w:rsidR="0064634B">
        <w:rPr>
          <w:rFonts w:ascii="Arial" w:hAnsi="Arial" w:cs="Arial"/>
          <w:sz w:val="24"/>
          <w:szCs w:val="24"/>
        </w:rPr>
        <w:t xml:space="preserve"> 2017r.oku</w:t>
      </w:r>
      <w:r w:rsidR="00CA3C20">
        <w:rPr>
          <w:rFonts w:ascii="Arial" w:hAnsi="Arial" w:cs="Arial"/>
          <w:sz w:val="24"/>
          <w:szCs w:val="24"/>
        </w:rPr>
        <w:t xml:space="preserve"> </w:t>
      </w:r>
      <w:r w:rsidR="0019780E" w:rsidRPr="0077051B">
        <w:rPr>
          <w:rFonts w:ascii="Arial" w:hAnsi="Arial" w:cs="Arial"/>
          <w:sz w:val="24"/>
          <w:szCs w:val="24"/>
        </w:rPr>
        <w:t>Dz</w:t>
      </w:r>
      <w:r w:rsidRPr="0077051B">
        <w:rPr>
          <w:rFonts w:ascii="Arial" w:hAnsi="Arial" w:cs="Arial"/>
          <w:sz w:val="24"/>
          <w:szCs w:val="24"/>
        </w:rPr>
        <w:t>.U</w:t>
      </w:r>
      <w:r w:rsidR="0019780E" w:rsidRPr="0077051B">
        <w:rPr>
          <w:rFonts w:ascii="Arial" w:hAnsi="Arial" w:cs="Arial"/>
          <w:sz w:val="24"/>
          <w:szCs w:val="24"/>
        </w:rPr>
        <w:t xml:space="preserve"> z </w:t>
      </w:r>
      <w:r w:rsidR="0064634B">
        <w:rPr>
          <w:rFonts w:ascii="Arial" w:hAnsi="Arial" w:cs="Arial"/>
          <w:sz w:val="24"/>
          <w:szCs w:val="24"/>
        </w:rPr>
        <w:t>2017</w:t>
      </w:r>
      <w:r w:rsidR="0019780E" w:rsidRPr="0077051B">
        <w:rPr>
          <w:rFonts w:ascii="Arial" w:hAnsi="Arial" w:cs="Arial"/>
          <w:sz w:val="24"/>
          <w:szCs w:val="24"/>
        </w:rPr>
        <w:t xml:space="preserve"> roku poz.</w:t>
      </w:r>
      <w:r w:rsidR="0064634B">
        <w:rPr>
          <w:rFonts w:ascii="Arial" w:hAnsi="Arial" w:cs="Arial"/>
          <w:sz w:val="24"/>
          <w:szCs w:val="24"/>
        </w:rPr>
        <w:t>1911</w:t>
      </w:r>
      <w:r w:rsidR="0019780E" w:rsidRPr="0077051B">
        <w:rPr>
          <w:rFonts w:ascii="Arial" w:hAnsi="Arial" w:cs="Arial"/>
          <w:sz w:val="24"/>
          <w:szCs w:val="24"/>
        </w:rPr>
        <w:t>.</w:t>
      </w:r>
      <w:r w:rsidR="0064634B">
        <w:rPr>
          <w:rFonts w:ascii="Arial" w:hAnsi="Arial" w:cs="Arial"/>
          <w:sz w:val="24"/>
          <w:szCs w:val="24"/>
        </w:rPr>
        <w:t xml:space="preserve">w sprawie </w:t>
      </w:r>
      <w:r w:rsidR="000D760F" w:rsidRPr="0077051B">
        <w:rPr>
          <w:rFonts w:ascii="Arial" w:hAnsi="Arial" w:cs="Arial"/>
          <w:sz w:val="24"/>
          <w:szCs w:val="24"/>
        </w:rPr>
        <w:t xml:space="preserve"> zasad rachunkowości oraz planów kont dla budżetu państwa, budżetów jednostek samorządu terytorialnego </w:t>
      </w:r>
      <w:r w:rsidR="007B3891" w:rsidRPr="0077051B">
        <w:rPr>
          <w:rFonts w:ascii="Arial" w:hAnsi="Arial" w:cs="Arial"/>
          <w:sz w:val="24"/>
          <w:szCs w:val="24"/>
        </w:rPr>
        <w:t>jednostek budżetowych, samorządowych zakładów budżetowych</w:t>
      </w:r>
      <w:r w:rsidR="001F3A79" w:rsidRPr="0077051B">
        <w:rPr>
          <w:rFonts w:ascii="Arial" w:hAnsi="Arial" w:cs="Arial"/>
          <w:sz w:val="24"/>
          <w:szCs w:val="24"/>
        </w:rPr>
        <w:t>, państwowych funduszy celowych oraz państwowych jednostek budżetowych mających siedzibę poza granicami Rzeczypospolitej Polskiej</w:t>
      </w:r>
    </w:p>
    <w:p w:rsidR="000D760F" w:rsidRPr="0077051B" w:rsidRDefault="000D760F" w:rsidP="0064634B">
      <w:pPr>
        <w:rPr>
          <w:rFonts w:ascii="Arial" w:hAnsi="Arial" w:cs="Arial"/>
          <w:b/>
          <w:i/>
          <w:sz w:val="24"/>
          <w:szCs w:val="24"/>
        </w:rPr>
      </w:pPr>
    </w:p>
    <w:p w:rsidR="000D760F" w:rsidRPr="0077051B" w:rsidRDefault="000D760F" w:rsidP="0064634B">
      <w:pPr>
        <w:ind w:right="-108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761B8C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Zespół </w:t>
      </w:r>
      <w:r w:rsidR="000D760F" w:rsidRPr="0077051B">
        <w:rPr>
          <w:rFonts w:ascii="Arial" w:hAnsi="Arial" w:cs="Arial"/>
          <w:b/>
          <w:sz w:val="24"/>
          <w:szCs w:val="24"/>
        </w:rPr>
        <w:t>0 – Majątek trwały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D760F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Środki trwałe</w:t>
            </w:r>
          </w:p>
        </w:tc>
      </w:tr>
      <w:tr w:rsidR="000D760F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środki trwałe</w:t>
            </w:r>
          </w:p>
        </w:tc>
      </w:tr>
      <w:tr w:rsidR="00362800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800" w:rsidRPr="0077051B" w:rsidRDefault="003628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800" w:rsidRPr="0077051B" w:rsidRDefault="00362800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Zbiory biblioteczne</w:t>
            </w:r>
          </w:p>
        </w:tc>
      </w:tr>
      <w:tr w:rsidR="000D760F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Wartości niematerialne i prawne</w:t>
            </w:r>
          </w:p>
        </w:tc>
      </w:tr>
      <w:tr w:rsidR="000D760F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071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Umorzenie środków trwałych oraz wartości niematerialnych i prawnych</w:t>
            </w:r>
          </w:p>
        </w:tc>
      </w:tr>
      <w:tr w:rsidR="000D760F" w:rsidRPr="0077051B">
        <w:trPr>
          <w:trHeight w:val="3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072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Umorzenie pozostałych środków trwałych</w:t>
            </w:r>
            <w:r w:rsidR="00A17ED4" w:rsidRPr="0077051B">
              <w:rPr>
                <w:rFonts w:ascii="Arial" w:hAnsi="Arial" w:cs="Arial"/>
                <w:sz w:val="24"/>
                <w:szCs w:val="24"/>
              </w:rPr>
              <w:t>,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wartości niematerialnych i prawnych</w:t>
            </w:r>
            <w:r w:rsidR="00A17ED4" w:rsidRPr="0077051B">
              <w:rPr>
                <w:rFonts w:ascii="Arial" w:hAnsi="Arial" w:cs="Arial"/>
                <w:sz w:val="24"/>
                <w:szCs w:val="24"/>
              </w:rPr>
              <w:t xml:space="preserve"> oraz zbiorów bibliot</w:t>
            </w:r>
            <w:r w:rsidR="00362800">
              <w:rPr>
                <w:rFonts w:ascii="Arial" w:hAnsi="Arial" w:cs="Arial"/>
                <w:sz w:val="24"/>
                <w:szCs w:val="24"/>
              </w:rPr>
              <w:t>e</w:t>
            </w:r>
            <w:r w:rsidR="00A17ED4" w:rsidRPr="0077051B">
              <w:rPr>
                <w:rFonts w:ascii="Arial" w:hAnsi="Arial" w:cs="Arial"/>
                <w:sz w:val="24"/>
                <w:szCs w:val="24"/>
              </w:rPr>
              <w:t>cznych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1 – Środki pieniężne i rachunki bankowe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D760F" w:rsidRPr="0077051B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130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Rachunek bieżący jednostki </w:t>
            </w:r>
          </w:p>
        </w:tc>
      </w:tr>
      <w:tr w:rsidR="000D760F" w:rsidRPr="0077051B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135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Rachun</w:t>
            </w:r>
            <w:r w:rsidR="00195EEF" w:rsidRPr="0077051B">
              <w:rPr>
                <w:rFonts w:ascii="Arial" w:hAnsi="Arial" w:cs="Arial"/>
                <w:sz w:val="24"/>
                <w:szCs w:val="24"/>
              </w:rPr>
              <w:t>ek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środków fu</w:t>
            </w:r>
            <w:r w:rsidR="00195EEF" w:rsidRPr="0077051B">
              <w:rPr>
                <w:rFonts w:ascii="Arial" w:hAnsi="Arial" w:cs="Arial"/>
                <w:sz w:val="24"/>
                <w:szCs w:val="24"/>
              </w:rPr>
              <w:t xml:space="preserve">nduszy  </w:t>
            </w:r>
            <w:r w:rsidR="00A17ED4" w:rsidRPr="0077051B">
              <w:rPr>
                <w:rFonts w:ascii="Arial" w:hAnsi="Arial" w:cs="Arial"/>
                <w:sz w:val="24"/>
                <w:szCs w:val="24"/>
              </w:rPr>
              <w:t>specjalnego przeznaczenia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2 – Rozrachunki i roszczenia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D760F" w:rsidRPr="0077051B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odbiorcami i dostawcami</w:t>
            </w:r>
          </w:p>
        </w:tc>
      </w:tr>
      <w:tr w:rsidR="000D760F" w:rsidRPr="0077051B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Należności z tytułu dochodów budżetowych</w:t>
            </w:r>
          </w:p>
        </w:tc>
      </w:tr>
      <w:tr w:rsidR="000D760F" w:rsidRPr="0077051B">
        <w:trPr>
          <w:trHeight w:val="3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Rozliczenie dochodów budżetowych</w:t>
            </w:r>
          </w:p>
        </w:tc>
      </w:tr>
      <w:tr w:rsidR="000D760F" w:rsidRPr="0077051B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Rozliczenie wydatków budżetowych</w:t>
            </w:r>
          </w:p>
        </w:tc>
      </w:tr>
      <w:tr w:rsidR="000D760F" w:rsidRPr="0077051B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budżetami</w:t>
            </w:r>
          </w:p>
        </w:tc>
      </w:tr>
      <w:tr w:rsidR="000D760F" w:rsidRPr="0077051B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rozrachunki publicznoprawne</w:t>
            </w:r>
          </w:p>
        </w:tc>
      </w:tr>
      <w:tr w:rsidR="000D760F" w:rsidRPr="0077051B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231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tytułu wynagrodzeń</w:t>
            </w:r>
          </w:p>
        </w:tc>
      </w:tr>
      <w:tr w:rsidR="000D760F" w:rsidRPr="0077051B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lastRenderedPageBreak/>
              <w:t>234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rozrachunki z pracownikami</w:t>
            </w:r>
          </w:p>
        </w:tc>
      </w:tr>
      <w:tr w:rsidR="000D760F" w:rsidRPr="0077051B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rozrachunki</w:t>
            </w:r>
          </w:p>
        </w:tc>
      </w:tr>
      <w:tr w:rsidR="00EE6100" w:rsidRPr="0077051B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00" w:rsidRPr="0077051B" w:rsidRDefault="00EE61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245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00" w:rsidRPr="0077051B" w:rsidRDefault="00EE610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Wpływy do wyjaśnienia</w:t>
            </w:r>
          </w:p>
        </w:tc>
      </w:tr>
      <w:tr w:rsidR="00865D5E" w:rsidRPr="0077051B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D5E" w:rsidRPr="0077051B" w:rsidRDefault="00865D5E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290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D5E" w:rsidRPr="0077051B" w:rsidRDefault="00865D5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Odpisy aktualizujące należności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3 – Materiały i towary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D760F" w:rsidRPr="0077051B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310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Materiały </w:t>
            </w:r>
          </w:p>
        </w:tc>
      </w:tr>
      <w:tr w:rsidR="00EA5AE9" w:rsidRPr="0077051B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AE9" w:rsidRPr="0077051B" w:rsidRDefault="00EA5AE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AE9" w:rsidRPr="0077051B" w:rsidRDefault="00EA5AE9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Rozliczenie zakupu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4 – Koszty według rodzajów i ich rozliczenie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160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  <w:gridCol w:w="1661"/>
        <w:gridCol w:w="1661"/>
        <w:gridCol w:w="1661"/>
        <w:gridCol w:w="1661"/>
      </w:tblGrid>
      <w:tr w:rsidR="00F457B4" w:rsidRPr="0077051B" w:rsidTr="00F457B4">
        <w:trPr>
          <w:gridAfter w:val="4"/>
          <w:wAfter w:w="6644" w:type="dxa"/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Amortyzacja</w:t>
            </w: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Zużycie materiałów i energii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Usługi obce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Podatki i opłaty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Wynagrodzenia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Ubezpieczenia społeczne i inne świadczenia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409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koszty rodzajowe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7B4" w:rsidRPr="0077051B" w:rsidTr="00F457B4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490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Rozliczenie kosztów</w:t>
            </w: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F457B4" w:rsidRPr="0077051B" w:rsidRDefault="00F457B4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DB4933" w:rsidRPr="0077051B" w:rsidRDefault="00DB4933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6 – Produkty</w:t>
      </w:r>
    </w:p>
    <w:p w:rsidR="00DB4933" w:rsidRPr="0077051B" w:rsidRDefault="00DB4933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DB4933" w:rsidRPr="0077051B" w:rsidTr="00D172E4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933" w:rsidRPr="0077051B" w:rsidRDefault="00DB4933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640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933" w:rsidRPr="0077051B" w:rsidRDefault="00DB493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Rozliczenia międzyokresowe kosztów </w:t>
            </w:r>
          </w:p>
        </w:tc>
      </w:tr>
    </w:tbl>
    <w:p w:rsidR="00DB4933" w:rsidRPr="0077051B" w:rsidRDefault="00DB4933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1324EB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7 – Przychody, dochody i koszty</w:t>
      </w:r>
    </w:p>
    <w:tbl>
      <w:tblPr>
        <w:tblW w:w="160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  <w:gridCol w:w="1661"/>
        <w:gridCol w:w="1661"/>
        <w:gridCol w:w="1661"/>
        <w:gridCol w:w="1661"/>
      </w:tblGrid>
      <w:tr w:rsidR="000D760F" w:rsidRPr="0077051B">
        <w:trPr>
          <w:gridAfter w:val="4"/>
          <w:wAfter w:w="6644" w:type="dxa"/>
          <w:trHeight w:val="5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5E5F33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z tytułu dochodów budżetowych</w:t>
            </w:r>
          </w:p>
        </w:tc>
      </w:tr>
      <w:tr w:rsidR="000D760F" w:rsidRPr="0077051B">
        <w:trPr>
          <w:gridAfter w:val="4"/>
          <w:wAfter w:w="6644" w:type="dxa"/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750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 finansowe</w:t>
            </w:r>
          </w:p>
        </w:tc>
      </w:tr>
      <w:tr w:rsidR="005E5F33" w:rsidRPr="0077051B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F33" w:rsidRPr="0077051B" w:rsidRDefault="005E5F33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65D5E" w:rsidRPr="0077051B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FB0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Koszty finansowe</w:t>
            </w: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F33" w:rsidRPr="0077051B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F33" w:rsidRPr="0077051B" w:rsidRDefault="00DB4933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760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FB0" w:rsidRPr="0077051B" w:rsidRDefault="00DB493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Pozostałe przychody operacyjne</w:t>
            </w: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F33" w:rsidRPr="0077051B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F33" w:rsidRPr="0077051B" w:rsidRDefault="00DB4933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761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401FB0" w:rsidRPr="0077051B" w:rsidRDefault="00DB493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koszty operacyjne</w:t>
            </w: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5E5F33" w:rsidRPr="0077051B" w:rsidRDefault="005E5F33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760F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 </w:t>
      </w:r>
    </w:p>
    <w:p w:rsidR="0064634B" w:rsidRDefault="0064634B" w:rsidP="0064634B">
      <w:pPr>
        <w:rPr>
          <w:rFonts w:ascii="Arial" w:hAnsi="Arial" w:cs="Arial"/>
          <w:b/>
          <w:sz w:val="24"/>
          <w:szCs w:val="24"/>
        </w:rPr>
      </w:pPr>
    </w:p>
    <w:p w:rsidR="0064634B" w:rsidRPr="0077051B" w:rsidRDefault="0064634B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8 – Fundusze, rezerwy i wynik finansowy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D760F" w:rsidRPr="0077051B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Fundusz jednostki</w:t>
            </w:r>
          </w:p>
        </w:tc>
      </w:tr>
      <w:tr w:rsidR="000D760F" w:rsidRPr="0077051B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851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Zakładowy fundusz świadczeń socjalnych</w:t>
            </w:r>
          </w:p>
        </w:tc>
      </w:tr>
      <w:tr w:rsidR="000D760F" w:rsidRPr="0077051B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860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865D5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Wynik finansowy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 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Konta pozabilansowe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138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920"/>
        <w:gridCol w:w="1661"/>
        <w:gridCol w:w="1661"/>
        <w:gridCol w:w="1661"/>
      </w:tblGrid>
      <w:tr w:rsidR="001324EB" w:rsidRPr="0077051B" w:rsidTr="001324EB">
        <w:trPr>
          <w:gridAfter w:val="3"/>
          <w:wAfter w:w="4983" w:type="dxa"/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920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Obce środki trwałe</w:t>
            </w:r>
          </w:p>
        </w:tc>
      </w:tr>
      <w:tr w:rsidR="001324EB" w:rsidRPr="0077051B" w:rsidTr="001324EB">
        <w:trPr>
          <w:gridAfter w:val="3"/>
          <w:wAfter w:w="4983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976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Wzajemne rozliczenia między jednostkami</w:t>
            </w:r>
          </w:p>
        </w:tc>
      </w:tr>
      <w:tr w:rsidR="001324EB" w:rsidRPr="0077051B" w:rsidTr="001324EB">
        <w:trPr>
          <w:gridAfter w:val="3"/>
          <w:wAfter w:w="4983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980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Plan finansowy wydatków budżetowych</w:t>
            </w:r>
          </w:p>
        </w:tc>
      </w:tr>
      <w:tr w:rsidR="001324EB" w:rsidRPr="0077051B" w:rsidTr="001324EB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EB" w:rsidRPr="0077051B" w:rsidRDefault="001324E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998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Zaangażowanie  wydatków roku bieżącego</w:t>
            </w: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4EB" w:rsidRPr="0077051B" w:rsidTr="001324EB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1324EB" w:rsidRPr="0077051B" w:rsidRDefault="001324E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999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Zaangażowanie wydatków przyszłych lat</w:t>
            </w: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:rsidR="001324EB" w:rsidRPr="0077051B" w:rsidRDefault="001324EB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797703" w:rsidRPr="0077051B" w:rsidRDefault="00797703" w:rsidP="0064634B">
      <w:pPr>
        <w:rPr>
          <w:rFonts w:ascii="Arial" w:hAnsi="Arial" w:cs="Arial"/>
          <w:b/>
          <w:sz w:val="24"/>
          <w:szCs w:val="24"/>
        </w:rPr>
      </w:pPr>
    </w:p>
    <w:p w:rsidR="00797703" w:rsidRPr="0077051B" w:rsidRDefault="00797703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761B8C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Zasady</w:t>
      </w:r>
      <w:r w:rsidR="000D760F" w:rsidRPr="0077051B">
        <w:rPr>
          <w:rFonts w:ascii="Arial" w:hAnsi="Arial" w:cs="Arial"/>
          <w:b/>
          <w:sz w:val="24"/>
          <w:szCs w:val="24"/>
        </w:rPr>
        <w:t xml:space="preserve"> </w:t>
      </w:r>
      <w:r w:rsidR="009E0496" w:rsidRPr="0077051B">
        <w:rPr>
          <w:rFonts w:ascii="Arial" w:hAnsi="Arial" w:cs="Arial"/>
          <w:b/>
          <w:sz w:val="24"/>
          <w:szCs w:val="24"/>
        </w:rPr>
        <w:t xml:space="preserve">ewidencji analitycznej dla DDSW </w:t>
      </w:r>
      <w:r w:rsidR="00797703" w:rsidRPr="0077051B">
        <w:rPr>
          <w:rFonts w:ascii="Arial" w:hAnsi="Arial" w:cs="Arial"/>
          <w:b/>
          <w:sz w:val="24"/>
          <w:szCs w:val="24"/>
        </w:rPr>
        <w:t xml:space="preserve"> w Sławkowie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tbl>
      <w:tblPr>
        <w:tblW w:w="9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003"/>
        <w:gridCol w:w="1980"/>
        <w:gridCol w:w="3603"/>
        <w:gridCol w:w="1654"/>
      </w:tblGrid>
      <w:tr w:rsidR="000D760F" w:rsidRPr="0077051B" w:rsidTr="0064634B">
        <w:trPr>
          <w:trHeight w:val="6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Zespół kont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Numer konta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Nazwa konta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analityczna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0D760F" w:rsidRPr="0077051B" w:rsidTr="0064634B">
        <w:trPr>
          <w:trHeight w:val="1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D760F" w:rsidRPr="0077051B" w:rsidTr="0064634B">
        <w:trPr>
          <w:trHeight w:val="3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Majątek trwały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41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Środki trwałe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64634B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Księga </w:t>
            </w:r>
            <w:r w:rsidR="000D760F" w:rsidRPr="0077051B">
              <w:rPr>
                <w:rFonts w:ascii="Arial" w:hAnsi="Arial" w:cs="Arial"/>
                <w:sz w:val="24"/>
                <w:szCs w:val="24"/>
              </w:rPr>
              <w:t>inwentarzowa prowadzona do poszczególnych gr</w:t>
            </w:r>
            <w:r>
              <w:rPr>
                <w:rFonts w:ascii="Arial" w:hAnsi="Arial" w:cs="Arial"/>
                <w:sz w:val="24"/>
                <w:szCs w:val="24"/>
              </w:rPr>
              <w:t xml:space="preserve">up rodzajowych środków trwałych w porządku </w:t>
            </w:r>
            <w:r w:rsidR="000D760F" w:rsidRPr="0077051B">
              <w:rPr>
                <w:rFonts w:ascii="Arial" w:hAnsi="Arial" w:cs="Arial"/>
                <w:sz w:val="24"/>
                <w:szCs w:val="24"/>
              </w:rPr>
              <w:t xml:space="preserve">chronologicznym </w:t>
            </w:r>
            <w:r w:rsidR="00761B8C" w:rsidRPr="007705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Identyfikacja na podstawie wpisu naniesionego w księdze inwentarzowej.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Druki przychodu i rozchodu, które są wprowadzone do ewidencji analitycznej – OT, PT i protokoły likwidacji LT zawierają następującą numerację: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Numer kolejny, miesiąc, rok – nadawany przez osobę odpowiedzialną za prowadzenie ksiąg.</w:t>
            </w:r>
            <w:r w:rsidR="00EA6B31" w:rsidRPr="0077051B">
              <w:rPr>
                <w:rFonts w:ascii="Arial" w:hAnsi="Arial" w:cs="Arial"/>
                <w:sz w:val="24"/>
                <w:szCs w:val="24"/>
              </w:rPr>
              <w:t xml:space="preserve"> Za zgodne uznaje się narastające obroty strony Wn konta 011 z danymi ujętymi w księdze środków trwałych w rubryce wartość początkowa lub </w:t>
            </w:r>
            <w:r w:rsidR="00EA6B31" w:rsidRPr="0077051B">
              <w:rPr>
                <w:rFonts w:ascii="Arial" w:hAnsi="Arial" w:cs="Arial"/>
                <w:sz w:val="24"/>
                <w:szCs w:val="24"/>
              </w:rPr>
              <w:lastRenderedPageBreak/>
              <w:t>wartość początkowa zaktualizowana na dzień ….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761B8C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A135EF" w:rsidRPr="0077051B">
              <w:rPr>
                <w:rFonts w:ascii="Arial" w:hAnsi="Arial" w:cs="Arial"/>
                <w:sz w:val="24"/>
                <w:szCs w:val="24"/>
              </w:rPr>
              <w:t>Księga inwentarzowa środków trwałych</w:t>
            </w:r>
            <w:r w:rsidR="00EA6B31" w:rsidRPr="0077051B">
              <w:rPr>
                <w:rFonts w:ascii="Arial" w:hAnsi="Arial" w:cs="Arial"/>
                <w:sz w:val="24"/>
                <w:szCs w:val="24"/>
              </w:rPr>
              <w:t xml:space="preserve"> prowadzona techniką ręczną</w:t>
            </w:r>
          </w:p>
        </w:tc>
      </w:tr>
      <w:tr w:rsidR="000D760F" w:rsidRPr="0077051B" w:rsidTr="0064634B">
        <w:trPr>
          <w:trHeight w:val="26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środki trwałe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Ewidencja szczegółowa prowadzona zgodnie z obowiązującą Klasyfikacją Środków Trwałych.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Identyfikacja na podstawie wpisu naniesionego w księdze inwentarzowej. </w:t>
            </w:r>
          </w:p>
          <w:p w:rsidR="00EA6B31" w:rsidRPr="0077051B" w:rsidRDefault="00EA6B31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 zgodne uznaje się narastające obroty strony Wn konta 013 z danymi ujętymi w księdze inwentarzowej pozostałych środków trwałych lub innej ewidencji ilościowo - wartościowej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8C" w:rsidRPr="0077051B" w:rsidRDefault="00761B8C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Odrębnie ewidencja ilościowo – wartościowa  oraz</w:t>
            </w:r>
            <w:r w:rsidR="00344773" w:rsidRPr="0077051B">
              <w:rPr>
                <w:rFonts w:ascii="Arial" w:hAnsi="Arial" w:cs="Arial"/>
                <w:sz w:val="24"/>
                <w:szCs w:val="24"/>
              </w:rPr>
              <w:t xml:space="preserve"> wartościowa</w:t>
            </w:r>
            <w:r w:rsidR="0003784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D760F" w:rsidRPr="0077051B" w:rsidRDefault="0064634B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61B8C" w:rsidRPr="0077051B">
              <w:rPr>
                <w:rFonts w:ascii="Arial" w:hAnsi="Arial" w:cs="Arial"/>
                <w:sz w:val="24"/>
                <w:szCs w:val="24"/>
              </w:rPr>
              <w:t>echnika ręczna</w:t>
            </w:r>
            <w:r w:rsidR="000D760F" w:rsidRP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2800" w:rsidRPr="0077051B" w:rsidTr="0064634B">
        <w:trPr>
          <w:trHeight w:val="26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0" w:rsidRPr="0077051B" w:rsidRDefault="003628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0" w:rsidRPr="0077051B" w:rsidRDefault="003628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0" w:rsidRPr="0077051B" w:rsidRDefault="003628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Zbiory biblioteczne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0" w:rsidRDefault="00362800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Ewidencja analityczna prowadzona ręcznie w  księdze </w:t>
            </w:r>
          </w:p>
          <w:p w:rsidR="00362800" w:rsidRDefault="00362800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Inwentarzowej.Za zgodne uznaje się narastające obroty</w:t>
            </w:r>
          </w:p>
          <w:p w:rsidR="00362800" w:rsidRPr="0077051B" w:rsidRDefault="00362800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Strony Wn konta 014 z danymi ujętymi w księdze inwentarzowej,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00" w:rsidRPr="0077051B" w:rsidRDefault="00362800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8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Wartości niematerialne i prawne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prowadzona według poszczególnych tytułów wartości niematerialnych i prawnych</w:t>
            </w:r>
            <w:r w:rsidR="00EA6B31" w:rsidRPr="0077051B">
              <w:rPr>
                <w:rFonts w:ascii="Arial" w:hAnsi="Arial" w:cs="Arial"/>
                <w:sz w:val="24"/>
                <w:szCs w:val="24"/>
              </w:rPr>
              <w:t xml:space="preserve">. Za zgodne uznaje się narastające obroty strony Wn konta 020 z danymi ujętymi w ewidencji ilościowo - </w:t>
            </w:r>
            <w:r w:rsidR="00EA6B31" w:rsidRPr="0077051B">
              <w:rPr>
                <w:rFonts w:ascii="Arial" w:hAnsi="Arial" w:cs="Arial"/>
                <w:sz w:val="24"/>
                <w:szCs w:val="24"/>
              </w:rPr>
              <w:lastRenderedPageBreak/>
              <w:t>wartościowej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761B8C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>Technika ręczna</w:t>
            </w:r>
          </w:p>
        </w:tc>
      </w:tr>
      <w:tr w:rsidR="000D760F" w:rsidRPr="0077051B" w:rsidTr="0064634B">
        <w:trPr>
          <w:trHeight w:val="16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Umorzenie środków trwałych oraz wartości niematerialnych i prawnych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szczegółowa prowadzona jest według zasad określonych dla konta 011 i 020</w:t>
            </w:r>
          </w:p>
          <w:p w:rsidR="00EA6B31" w:rsidRPr="0077051B" w:rsidRDefault="00EA6B31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 zgodne uznaje się narastające obroty strony Ma konta 071 z danymi ujętymi w księdze środków trwałych w rubrykach wartość umor</w:t>
            </w:r>
            <w:r w:rsidR="00FD576D" w:rsidRPr="0077051B">
              <w:rPr>
                <w:rFonts w:ascii="Arial" w:hAnsi="Arial" w:cs="Arial"/>
                <w:sz w:val="24"/>
                <w:szCs w:val="24"/>
              </w:rPr>
              <w:t>zenia dotychczasowa zaktualizowana/ zwiększona o kwotę odpisów amortyzacyjnych w roku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</w:t>
            </w:r>
          </w:p>
          <w:p w:rsidR="00761B8C" w:rsidRPr="0077051B" w:rsidRDefault="00761B8C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ręczna</w:t>
            </w:r>
          </w:p>
        </w:tc>
      </w:tr>
      <w:tr w:rsidR="000D760F" w:rsidRPr="0077051B" w:rsidTr="0064634B">
        <w:trPr>
          <w:trHeight w:val="20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Umorzenie pozostałych środków trwałych oraz wartości niematerialnych i prawnych</w:t>
            </w: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Umorzenie w 100% w miesiącu wydania do używania – ewidencja prowadzona według zasad określonych do konta 013</w:t>
            </w:r>
          </w:p>
          <w:p w:rsidR="00FD576D" w:rsidRPr="0077051B" w:rsidRDefault="00FD576D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 zgodne uznaje się narastające obroty strony Ma konta 072 z danymi ujętymi w księdze pozostałych środków trwałych oraz w ewidencji ilościowo - wartościowej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</w:t>
            </w:r>
            <w:r w:rsidR="00A135EF" w:rsidRPr="0077051B">
              <w:rPr>
                <w:rFonts w:ascii="Arial" w:hAnsi="Arial" w:cs="Arial"/>
                <w:sz w:val="24"/>
                <w:szCs w:val="24"/>
              </w:rPr>
              <w:t>ręczna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7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Środki pieniężne i rachunki bankowe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15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Rachunek bieżący jednostki </w:t>
            </w: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analityczna osobna dla dochodów i wydatków budżetowych,</w:t>
            </w:r>
            <w:r w:rsidR="0064634B">
              <w:rPr>
                <w:rFonts w:ascii="Arial" w:hAnsi="Arial" w:cs="Arial"/>
                <w:sz w:val="24"/>
                <w:szCs w:val="24"/>
              </w:rPr>
              <w:t xml:space="preserve"> oraz dotacji celowych</w:t>
            </w:r>
            <w:r w:rsidR="00225FFF" w:rsidRPr="0077051B">
              <w:rPr>
                <w:rFonts w:ascii="Arial" w:hAnsi="Arial" w:cs="Arial"/>
                <w:sz w:val="24"/>
                <w:szCs w:val="24"/>
              </w:rPr>
              <w:t>,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prowadzona wg klasyfikacji budżetowej, dostosowana do sporządzania sprawozdań budżetowych z wykonania dochodów i wydatków budżetowych jednostki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</w:t>
            </w:r>
            <w:r w:rsidR="00344773" w:rsidRPr="0077051B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760F" w:rsidRPr="0077051B" w:rsidTr="0064634B">
        <w:trPr>
          <w:trHeight w:val="14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Rachunki środków </w:t>
            </w:r>
            <w:r w:rsidR="001324EB" w:rsidRPr="0077051B">
              <w:rPr>
                <w:rFonts w:ascii="Arial" w:hAnsi="Arial" w:cs="Arial"/>
                <w:b/>
                <w:sz w:val="24"/>
                <w:szCs w:val="24"/>
              </w:rPr>
              <w:t>funduszy specjalnego przeznaczenia</w:t>
            </w:r>
          </w:p>
          <w:p w:rsidR="000D760F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84C" w:rsidRDefault="0003784C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84C" w:rsidRDefault="0003784C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84C" w:rsidRPr="0077051B" w:rsidRDefault="0003784C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225FF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analityczna  funduszu socjalnego prowadzona oddzielnie.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64634B">
        <w:trPr>
          <w:trHeight w:val="3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Rozrachunki i roszczenia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141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Rozrachunki </w:t>
            </w: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z odbiorcami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br/>
              <w:t>i dostawcami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</w:t>
            </w:r>
            <w:r w:rsidR="00AC3878">
              <w:rPr>
                <w:rFonts w:ascii="Arial" w:hAnsi="Arial" w:cs="Arial"/>
                <w:sz w:val="24"/>
                <w:szCs w:val="24"/>
              </w:rPr>
              <w:t xml:space="preserve">widencja analityczna prowadzona </w:t>
            </w:r>
            <w:r w:rsidRPr="0077051B">
              <w:rPr>
                <w:rFonts w:ascii="Arial" w:hAnsi="Arial" w:cs="Arial"/>
                <w:sz w:val="24"/>
                <w:szCs w:val="24"/>
              </w:rPr>
              <w:t>według poszczególnych kontrahentów</w:t>
            </w: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Według kontrahentów oznaczo</w:t>
            </w:r>
            <w:r w:rsidR="00553415" w:rsidRPr="0077051B">
              <w:rPr>
                <w:rFonts w:ascii="Arial" w:hAnsi="Arial" w:cs="Arial"/>
                <w:sz w:val="24"/>
                <w:szCs w:val="24"/>
              </w:rPr>
              <w:t>nych przy technice komputerowej oraz ręcznie prowadzony rejestr faktur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D760F" w:rsidRPr="0077051B" w:rsidTr="0064634B">
        <w:trPr>
          <w:trHeight w:val="99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221</w:t>
            </w: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Należności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br/>
              <w:t>z tytułu dochodów budżetowych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Konto analityczne do konta syntetycznego prowadzone jest według rodzaju dochodów bud</w:t>
            </w:r>
            <w:r w:rsidR="00392EB2" w:rsidRPr="0077051B">
              <w:rPr>
                <w:rFonts w:ascii="Arial" w:hAnsi="Arial" w:cs="Arial"/>
                <w:sz w:val="24"/>
                <w:szCs w:val="24"/>
              </w:rPr>
              <w:t>żetowych 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komputerowa 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8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Rozliczenie dochodów budżetowych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Służy do ewidencji rozliczenia  zrealizowanyc</w:t>
            </w:r>
            <w:r w:rsidR="00392EB2" w:rsidRPr="0077051B">
              <w:rPr>
                <w:rFonts w:ascii="Arial" w:hAnsi="Arial" w:cs="Arial"/>
                <w:sz w:val="24"/>
                <w:szCs w:val="24"/>
              </w:rPr>
              <w:t xml:space="preserve">h przez  </w:t>
            </w:r>
            <w:r w:rsidR="0064634B">
              <w:rPr>
                <w:rFonts w:ascii="Arial" w:hAnsi="Arial" w:cs="Arial"/>
                <w:sz w:val="24"/>
                <w:szCs w:val="24"/>
              </w:rPr>
              <w:t>DDSW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dochodów budżetowych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64634B">
        <w:trPr>
          <w:trHeight w:val="12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Rozliczenie wydatków budżetowych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Służy do ewidencji </w:t>
            </w:r>
            <w:r w:rsidR="00B91017" w:rsidRPr="0077051B">
              <w:rPr>
                <w:rFonts w:ascii="Arial" w:hAnsi="Arial" w:cs="Arial"/>
                <w:sz w:val="24"/>
                <w:szCs w:val="24"/>
              </w:rPr>
              <w:t xml:space="preserve"> otrzymanych  środków pieniężnych</w:t>
            </w:r>
            <w:r w:rsidR="00CE37B5">
              <w:rPr>
                <w:rFonts w:ascii="Arial" w:hAnsi="Arial" w:cs="Arial"/>
                <w:sz w:val="24"/>
                <w:szCs w:val="24"/>
              </w:rPr>
              <w:t xml:space="preserve"> pochodzących ze środków samorządowych i dotacji celowych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Rozrachunki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br/>
              <w:t>z budżetami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Ewidencję szczeg</w:t>
            </w:r>
            <w:r w:rsidR="00392EB2" w:rsidRPr="0077051B">
              <w:rPr>
                <w:rFonts w:ascii="Arial" w:hAnsi="Arial" w:cs="Arial"/>
                <w:sz w:val="24"/>
                <w:szCs w:val="24"/>
              </w:rPr>
              <w:t xml:space="preserve">ółową prowadzi się  w podziale na poszczególne rodzaje paragrafów </w:t>
            </w:r>
          </w:p>
          <w:p w:rsidR="000D760F" w:rsidRPr="0077051B" w:rsidRDefault="000D760F" w:rsidP="0064634B">
            <w:pPr>
              <w:ind w:left="420"/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komputerowa </w:t>
            </w:r>
          </w:p>
        </w:tc>
      </w:tr>
      <w:tr w:rsidR="000D760F" w:rsidRPr="0077051B" w:rsidTr="0064634B">
        <w:trPr>
          <w:trHeight w:val="14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rozrachunki publicznoprawne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Prowadzone w sposób umożliwiający ustalenie stanu należności i zobowiązań według tytułó</w:t>
            </w:r>
            <w:r w:rsidR="00B91017" w:rsidRPr="0077051B">
              <w:rPr>
                <w:rFonts w:ascii="Arial" w:hAnsi="Arial" w:cs="Arial"/>
                <w:sz w:val="24"/>
                <w:szCs w:val="24"/>
              </w:rPr>
              <w:t>w rozrachunków np. składek na  ub. Społeczne ,Zdrowotne, Fundusz z Pracy itp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64634B">
        <w:trPr>
          <w:trHeight w:val="16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Rozrachunki z tytułu wynagrodzeń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Prowadzona dla rozliczenia </w:t>
            </w:r>
            <w:r w:rsidR="00B91017" w:rsidRPr="0077051B">
              <w:rPr>
                <w:rFonts w:ascii="Arial" w:hAnsi="Arial" w:cs="Arial"/>
                <w:sz w:val="24"/>
                <w:szCs w:val="24"/>
              </w:rPr>
              <w:t>list płac.</w:t>
            </w:r>
          </w:p>
          <w:p w:rsidR="00B91017" w:rsidRPr="0077051B" w:rsidRDefault="00B9101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Ewidencję analityczną stanowią  karty </w:t>
            </w:r>
            <w:r w:rsidR="00D231A8" w:rsidRPr="0077051B">
              <w:rPr>
                <w:rFonts w:ascii="Arial" w:hAnsi="Arial" w:cs="Arial"/>
                <w:sz w:val="24"/>
                <w:szCs w:val="24"/>
              </w:rPr>
              <w:t>zarobkowe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 do programu sporządzania list wypłat wynagrodzeń</w:t>
            </w:r>
          </w:p>
        </w:tc>
      </w:tr>
      <w:tr w:rsidR="000D760F" w:rsidRPr="0077051B" w:rsidTr="0064634B">
        <w:trPr>
          <w:trHeight w:val="15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Pozostałe rozrachunki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br/>
              <w:t>z pracownikami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Prowadzona w sposób zapewniający ustalenie stanu należności, roszczeń </w:t>
            </w:r>
            <w:r w:rsidRPr="0077051B">
              <w:rPr>
                <w:rFonts w:ascii="Arial" w:hAnsi="Arial" w:cs="Arial"/>
                <w:sz w:val="24"/>
                <w:szCs w:val="24"/>
              </w:rPr>
              <w:br/>
              <w:t>i zobowiąza</w:t>
            </w:r>
            <w:r w:rsidR="00D231A8" w:rsidRPr="0077051B">
              <w:rPr>
                <w:rFonts w:ascii="Arial" w:hAnsi="Arial" w:cs="Arial"/>
                <w:sz w:val="24"/>
                <w:szCs w:val="24"/>
              </w:rPr>
              <w:t xml:space="preserve">ń z poszczególnymi pracownikami </w:t>
            </w:r>
            <w:r w:rsidRPr="0077051B">
              <w:rPr>
                <w:rFonts w:ascii="Arial" w:hAnsi="Arial" w:cs="Arial"/>
                <w:sz w:val="24"/>
                <w:szCs w:val="24"/>
              </w:rPr>
              <w:t>według tytułu rozrachunków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Wg osób oznaczonych przy technice komputerowej</w:t>
            </w:r>
          </w:p>
        </w:tc>
      </w:tr>
      <w:tr w:rsidR="000D760F" w:rsidRPr="0077051B" w:rsidTr="0064634B">
        <w:trPr>
          <w:trHeight w:val="14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rozrachunki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szczegółowa prowadzona w sposób umożliwiający ustalenie rozrachunków, roszczeń i rozliczeń z poszczególnych tytułów i kont bankowych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73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Wg kontrahentów</w:t>
            </w:r>
          </w:p>
          <w:p w:rsidR="000D760F" w:rsidRPr="0077051B" w:rsidRDefault="00C06A73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osób</w:t>
            </w:r>
            <w:r w:rsidR="000D760F" w:rsidRPr="0077051B">
              <w:rPr>
                <w:rFonts w:ascii="Arial" w:hAnsi="Arial" w:cs="Arial"/>
                <w:sz w:val="24"/>
                <w:szCs w:val="24"/>
              </w:rPr>
              <w:t xml:space="preserve"> oznaczonych przy technice komputerowej</w:t>
            </w:r>
          </w:p>
        </w:tc>
      </w:tr>
      <w:tr w:rsidR="00EE6100" w:rsidRPr="0077051B" w:rsidTr="0064634B">
        <w:trPr>
          <w:trHeight w:val="16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00" w:rsidRPr="0077051B" w:rsidRDefault="00EE61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00" w:rsidRPr="0077051B" w:rsidRDefault="00EE61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00" w:rsidRPr="0077051B" w:rsidRDefault="00EE610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Wpływy do wyjaśnienia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00" w:rsidRPr="0077051B" w:rsidRDefault="00EE610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Ewidencja wpłaconych, </w:t>
            </w:r>
            <w:r w:rsidR="00CE37B5">
              <w:rPr>
                <w:rFonts w:ascii="Arial" w:hAnsi="Arial" w:cs="Arial"/>
                <w:sz w:val="24"/>
                <w:szCs w:val="24"/>
              </w:rPr>
              <w:t xml:space="preserve">wypłaconych </w:t>
            </w:r>
            <w:r w:rsidRPr="0077051B">
              <w:rPr>
                <w:rFonts w:ascii="Arial" w:hAnsi="Arial" w:cs="Arial"/>
                <w:sz w:val="24"/>
                <w:szCs w:val="24"/>
              </w:rPr>
              <w:t>a niewyjaśnionych kwot należności</w:t>
            </w:r>
            <w:r w:rsidR="00CE37B5">
              <w:rPr>
                <w:rFonts w:ascii="Arial" w:hAnsi="Arial" w:cs="Arial"/>
                <w:sz w:val="24"/>
                <w:szCs w:val="24"/>
              </w:rPr>
              <w:t xml:space="preserve"> i zobowiązań 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z tytułu dochodów budżetowych</w:t>
            </w:r>
            <w:r w:rsidR="00CE37B5">
              <w:rPr>
                <w:rFonts w:ascii="Arial" w:hAnsi="Arial" w:cs="Arial"/>
                <w:sz w:val="24"/>
                <w:szCs w:val="24"/>
              </w:rPr>
              <w:t xml:space="preserve"> i wydatków budżetowych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00" w:rsidRPr="0077051B" w:rsidRDefault="00EE610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64634B">
        <w:trPr>
          <w:trHeight w:val="16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Odpisy aktualizujące należności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odpisów aktualizujących należności wątpliwe i odsetki od należności przypisanych, ale niezapłaconych</w:t>
            </w:r>
            <w:r w:rsidR="00A135EF" w:rsidRP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prowadzona według poszczególnych tytułów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komputerowa, przypis na </w:t>
            </w:r>
            <w:r w:rsidR="00A135EF" w:rsidRPr="0077051B">
              <w:rPr>
                <w:rFonts w:ascii="Arial" w:hAnsi="Arial" w:cs="Arial"/>
                <w:sz w:val="24"/>
                <w:szCs w:val="24"/>
              </w:rPr>
              <w:t>dzień 31.12</w:t>
            </w:r>
          </w:p>
        </w:tc>
      </w:tr>
      <w:tr w:rsidR="000D760F" w:rsidRPr="0077051B" w:rsidTr="0064634B">
        <w:trPr>
          <w:trHeight w:val="49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Materiały i towary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64634B">
        <w:trPr>
          <w:trHeight w:val="7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Materiały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Ewidencję stanowi sporządzony wg ceny zakupu spis z natury niezużytych składników majątku obrotowego na koniec roku budżetowego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AC3878" w:rsidRPr="0077051B" w:rsidTr="0064634B">
        <w:trPr>
          <w:trHeight w:val="7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8" w:rsidRPr="0077051B" w:rsidRDefault="00AC3878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8" w:rsidRPr="0077051B" w:rsidRDefault="00AC3878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8" w:rsidRPr="0077051B" w:rsidRDefault="00AC3878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Rozliczenie zakupu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8" w:rsidRPr="0077051B" w:rsidRDefault="00AC3878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Ewidencja analityczna prowadzono wg poszczególnych kontrahentów</w:t>
            </w:r>
            <w:r w:rsidR="00CE37B5">
              <w:rPr>
                <w:rFonts w:ascii="Arial" w:hAnsi="Arial" w:cs="Arial"/>
                <w:sz w:val="24"/>
                <w:szCs w:val="24"/>
              </w:rPr>
              <w:t xml:space="preserve"> tylko na przełomie roku obrotowego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8" w:rsidRPr="0077051B" w:rsidRDefault="00AC3878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9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059"/>
        <w:gridCol w:w="1974"/>
        <w:gridCol w:w="3739"/>
        <w:gridCol w:w="1684"/>
      </w:tblGrid>
      <w:tr w:rsidR="000D760F" w:rsidRPr="0077051B" w:rsidTr="00C06A73">
        <w:trPr>
          <w:trHeight w:val="52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Koszty według rodzajów i ich rozliczenie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C06A73">
        <w:trPr>
          <w:trHeight w:val="105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A135E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401</w:t>
            </w:r>
          </w:p>
        </w:tc>
        <w:tc>
          <w:tcPr>
            <w:tcW w:w="1974" w:type="dxa"/>
          </w:tcPr>
          <w:p w:rsidR="000D760F" w:rsidRPr="0077051B" w:rsidRDefault="00A135E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Zużycie materiałów i wyposażenia</w:t>
            </w:r>
          </w:p>
        </w:tc>
        <w:tc>
          <w:tcPr>
            <w:tcW w:w="3739" w:type="dxa"/>
          </w:tcPr>
          <w:p w:rsidR="000D760F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kosztów zużycia materiałów i energii na cele działalności podstawowej i ogólnego zarządu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 wg pozycji kosztów rodzajowych</w:t>
            </w:r>
          </w:p>
        </w:tc>
      </w:tr>
      <w:tr w:rsidR="000D760F" w:rsidRPr="0077051B" w:rsidTr="00C06A73">
        <w:trPr>
          <w:trHeight w:val="922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AA22D7" w:rsidRPr="0077051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Amortyzacja </w:t>
            </w:r>
          </w:p>
        </w:tc>
        <w:tc>
          <w:tcPr>
            <w:tcW w:w="3739" w:type="dxa"/>
          </w:tcPr>
          <w:p w:rsidR="000D760F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naliczonych odpisów amortyzacyjnych dokonywana jednorazowo za okres całego roku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AA22D7" w:rsidRPr="0077051B" w:rsidTr="00C06A73">
        <w:trPr>
          <w:trHeight w:val="975"/>
        </w:trPr>
        <w:tc>
          <w:tcPr>
            <w:tcW w:w="720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402</w:t>
            </w:r>
          </w:p>
        </w:tc>
        <w:tc>
          <w:tcPr>
            <w:tcW w:w="1974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Usługi obce</w:t>
            </w:r>
          </w:p>
        </w:tc>
        <w:tc>
          <w:tcPr>
            <w:tcW w:w="3739" w:type="dxa"/>
          </w:tcPr>
          <w:p w:rsidR="00AA22D7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kosztów z tytułu usług obcych wykonywanych na rzecz działalności podstawowej</w:t>
            </w:r>
          </w:p>
        </w:tc>
        <w:tc>
          <w:tcPr>
            <w:tcW w:w="1684" w:type="dxa"/>
          </w:tcPr>
          <w:p w:rsidR="00AA22D7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AA22D7" w:rsidRPr="0077051B" w:rsidTr="00C06A73">
        <w:trPr>
          <w:trHeight w:val="975"/>
        </w:trPr>
        <w:tc>
          <w:tcPr>
            <w:tcW w:w="720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403</w:t>
            </w:r>
          </w:p>
        </w:tc>
        <w:tc>
          <w:tcPr>
            <w:tcW w:w="1974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Podatki i opłaty</w:t>
            </w:r>
          </w:p>
        </w:tc>
        <w:tc>
          <w:tcPr>
            <w:tcW w:w="3739" w:type="dxa"/>
          </w:tcPr>
          <w:p w:rsidR="00AA22D7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kosztów z tytułu opłat</w:t>
            </w:r>
          </w:p>
        </w:tc>
        <w:tc>
          <w:tcPr>
            <w:tcW w:w="1684" w:type="dxa"/>
          </w:tcPr>
          <w:p w:rsidR="00AA22D7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AA22D7" w:rsidRPr="0077051B" w:rsidTr="00C06A73">
        <w:trPr>
          <w:trHeight w:val="975"/>
        </w:trPr>
        <w:tc>
          <w:tcPr>
            <w:tcW w:w="720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404</w:t>
            </w:r>
          </w:p>
        </w:tc>
        <w:tc>
          <w:tcPr>
            <w:tcW w:w="1974" w:type="dxa"/>
          </w:tcPr>
          <w:p w:rsidR="00AA22D7" w:rsidRPr="0077051B" w:rsidRDefault="00AA22D7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Wynagrodzenia</w:t>
            </w:r>
          </w:p>
        </w:tc>
        <w:tc>
          <w:tcPr>
            <w:tcW w:w="3739" w:type="dxa"/>
          </w:tcPr>
          <w:p w:rsidR="00AA22D7" w:rsidRPr="0077051B" w:rsidRDefault="00AA22D7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Ewidencja kosztów działalności podstawowej z tytułu wynagrodzeń z pracownikami i innymi osobami fizycznymi </w:t>
            </w:r>
            <w:r w:rsidR="008763A2" w:rsidRPr="0077051B">
              <w:rPr>
                <w:rFonts w:ascii="Arial" w:hAnsi="Arial" w:cs="Arial"/>
                <w:sz w:val="24"/>
                <w:szCs w:val="24"/>
              </w:rPr>
              <w:t xml:space="preserve">zatrudnionymi na podstawie umowy o pracę, umowy zlecenia, umowy o dzieło i innych umów zgodnie z obowiązującymi przepisami </w:t>
            </w:r>
          </w:p>
        </w:tc>
        <w:tc>
          <w:tcPr>
            <w:tcW w:w="1684" w:type="dxa"/>
          </w:tcPr>
          <w:p w:rsidR="00AA22D7" w:rsidRPr="0077051B" w:rsidRDefault="008763A2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8763A2" w:rsidRPr="0077051B" w:rsidTr="00C06A73">
        <w:trPr>
          <w:trHeight w:val="975"/>
        </w:trPr>
        <w:tc>
          <w:tcPr>
            <w:tcW w:w="720" w:type="dxa"/>
          </w:tcPr>
          <w:p w:rsidR="008763A2" w:rsidRPr="0077051B" w:rsidRDefault="008763A2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8763A2" w:rsidRPr="0077051B" w:rsidRDefault="008763A2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405</w:t>
            </w:r>
          </w:p>
        </w:tc>
        <w:tc>
          <w:tcPr>
            <w:tcW w:w="1974" w:type="dxa"/>
          </w:tcPr>
          <w:p w:rsidR="008763A2" w:rsidRPr="0077051B" w:rsidRDefault="008763A2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Ubezpieczenia społeczne i inne świadczenia</w:t>
            </w:r>
          </w:p>
        </w:tc>
        <w:tc>
          <w:tcPr>
            <w:tcW w:w="3739" w:type="dxa"/>
          </w:tcPr>
          <w:p w:rsidR="008763A2" w:rsidRPr="0077051B" w:rsidRDefault="00E64F7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kosztów działalności podstawowej z tytułu różnego rodzaju świadczeń na rzecz pracowników i osób fizycznych zatrudnionych na podstawie umowy zlecenia, umowy o dzieło i innych umów zgodnie z obowiązującymi przepisami</w:t>
            </w:r>
          </w:p>
        </w:tc>
        <w:tc>
          <w:tcPr>
            <w:tcW w:w="1684" w:type="dxa"/>
          </w:tcPr>
          <w:p w:rsidR="008763A2" w:rsidRPr="0077051B" w:rsidRDefault="00E64F7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E64F7B" w:rsidRPr="0077051B" w:rsidTr="00C06A73">
        <w:trPr>
          <w:trHeight w:val="975"/>
        </w:trPr>
        <w:tc>
          <w:tcPr>
            <w:tcW w:w="720" w:type="dxa"/>
          </w:tcPr>
          <w:p w:rsidR="00E64F7B" w:rsidRPr="0077051B" w:rsidRDefault="00E64F7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E64F7B" w:rsidRPr="0077051B" w:rsidRDefault="00E64F7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409</w:t>
            </w:r>
          </w:p>
        </w:tc>
        <w:tc>
          <w:tcPr>
            <w:tcW w:w="1974" w:type="dxa"/>
          </w:tcPr>
          <w:p w:rsidR="00E64F7B" w:rsidRPr="0077051B" w:rsidRDefault="00E64F7B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koszty rodzajowe</w:t>
            </w:r>
          </w:p>
        </w:tc>
        <w:tc>
          <w:tcPr>
            <w:tcW w:w="3739" w:type="dxa"/>
          </w:tcPr>
          <w:p w:rsidR="00E64F7B" w:rsidRPr="0077051B" w:rsidRDefault="00E64F7B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kosztów działalności podstawowej, które nie kwalifikują się do ujęcia na kontach 401 - 405</w:t>
            </w:r>
          </w:p>
        </w:tc>
        <w:tc>
          <w:tcPr>
            <w:tcW w:w="1684" w:type="dxa"/>
          </w:tcPr>
          <w:p w:rsidR="00E64F7B" w:rsidRPr="0077051B" w:rsidRDefault="00B31C1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5F18B9" w:rsidRPr="0077051B" w:rsidTr="00C06A73">
        <w:trPr>
          <w:trHeight w:val="645"/>
        </w:trPr>
        <w:tc>
          <w:tcPr>
            <w:tcW w:w="720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Produkty</w:t>
            </w:r>
          </w:p>
        </w:tc>
        <w:tc>
          <w:tcPr>
            <w:tcW w:w="1684" w:type="dxa"/>
          </w:tcPr>
          <w:p w:rsidR="005F18B9" w:rsidRPr="0077051B" w:rsidRDefault="005F18B9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8B9" w:rsidRPr="0077051B" w:rsidTr="00C06A73">
        <w:trPr>
          <w:trHeight w:val="645"/>
        </w:trPr>
        <w:tc>
          <w:tcPr>
            <w:tcW w:w="720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640</w:t>
            </w:r>
          </w:p>
        </w:tc>
        <w:tc>
          <w:tcPr>
            <w:tcW w:w="1974" w:type="dxa"/>
          </w:tcPr>
          <w:p w:rsidR="005F18B9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Rozliczenia międzyokresowe kosztów</w:t>
            </w:r>
          </w:p>
        </w:tc>
        <w:tc>
          <w:tcPr>
            <w:tcW w:w="3739" w:type="dxa"/>
          </w:tcPr>
          <w:p w:rsidR="005F18B9" w:rsidRPr="0077051B" w:rsidRDefault="005F18B9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analityczna umożliwia ustalenie wysokości tych kosztów zakupu, które podlegają rozliczeniu w czasie oraz wysokość innych rozliczeń międzyokresowych kosztów według ich tytułów</w:t>
            </w:r>
          </w:p>
        </w:tc>
        <w:tc>
          <w:tcPr>
            <w:tcW w:w="1684" w:type="dxa"/>
          </w:tcPr>
          <w:p w:rsidR="005F18B9" w:rsidRPr="0077051B" w:rsidRDefault="005F18B9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64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Przychody i koszy uzyskania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C06A73">
        <w:trPr>
          <w:trHeight w:val="96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31C10" w:rsidRPr="0077051B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974" w:type="dxa"/>
          </w:tcPr>
          <w:p w:rsidR="000D760F" w:rsidRPr="0077051B" w:rsidRDefault="00B31C10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Przychody z tytułu dochodów budżetowych</w:t>
            </w:r>
            <w:r w:rsidR="000D760F" w:rsidRPr="0077051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39" w:type="dxa"/>
          </w:tcPr>
          <w:p w:rsidR="000D760F" w:rsidRPr="0077051B" w:rsidRDefault="00B31C1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analityczna umożliwiająca wyodrębnienie przychodów z tytułu poszczególnych dochodów budżetowych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136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750</w:t>
            </w: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Przychody finansowe</w:t>
            </w:r>
          </w:p>
        </w:tc>
        <w:tc>
          <w:tcPr>
            <w:tcW w:w="3739" w:type="dxa"/>
          </w:tcPr>
          <w:p w:rsidR="000D760F" w:rsidRPr="0077051B" w:rsidRDefault="000D760F" w:rsidP="00CE37B5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Ewidencja analityczna umożliwiająca wyodrębnienie </w:t>
            </w:r>
            <w:r w:rsidR="006A1DBE" w:rsidRPr="0077051B">
              <w:rPr>
                <w:rFonts w:ascii="Arial" w:hAnsi="Arial" w:cs="Arial"/>
                <w:sz w:val="24"/>
                <w:szCs w:val="24"/>
              </w:rPr>
              <w:t xml:space="preserve">przychodów finansowych 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1199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1DBE" w:rsidRPr="0077051B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1974" w:type="dxa"/>
          </w:tcPr>
          <w:p w:rsidR="000D760F" w:rsidRPr="0077051B" w:rsidRDefault="006A1DBE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Koszty finansowe</w:t>
            </w:r>
          </w:p>
        </w:tc>
        <w:tc>
          <w:tcPr>
            <w:tcW w:w="3739" w:type="dxa"/>
          </w:tcPr>
          <w:p w:rsidR="000D760F" w:rsidRPr="0077051B" w:rsidRDefault="006A1DB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Ewidencja szczegółowa zapewniająca wyodrębnienie poszczególnych kosztów operacji finansowych 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72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6A1DBE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F18B9" w:rsidRPr="0077051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974" w:type="dxa"/>
          </w:tcPr>
          <w:p w:rsidR="000D760F" w:rsidRPr="0077051B" w:rsidRDefault="005F18B9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przychody operacyjne</w:t>
            </w:r>
          </w:p>
        </w:tc>
        <w:tc>
          <w:tcPr>
            <w:tcW w:w="3739" w:type="dxa"/>
          </w:tcPr>
          <w:p w:rsidR="000D760F" w:rsidRPr="0077051B" w:rsidRDefault="006A1DB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Ewidencja </w:t>
            </w:r>
            <w:r w:rsidR="005F18B9" w:rsidRPr="0077051B">
              <w:rPr>
                <w:rFonts w:ascii="Arial" w:hAnsi="Arial" w:cs="Arial"/>
                <w:sz w:val="24"/>
                <w:szCs w:val="24"/>
              </w:rPr>
              <w:t xml:space="preserve">przychodów niezwiązanych bezpośrednio z podstawową działalnością </w:t>
            </w:r>
            <w:r w:rsidR="005F18B9" w:rsidRPr="0077051B">
              <w:rPr>
                <w:rFonts w:ascii="Arial" w:hAnsi="Arial" w:cs="Arial"/>
                <w:sz w:val="24"/>
                <w:szCs w:val="24"/>
              </w:rPr>
              <w:lastRenderedPageBreak/>
              <w:t>jednostki, w tym wszelkich innych przychodów niż podlegające ewidencji na kontach: 720, 750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>Technika komputerowa</w:t>
            </w:r>
          </w:p>
        </w:tc>
      </w:tr>
      <w:tr w:rsidR="00CC322D" w:rsidRPr="0077051B" w:rsidTr="00C06A73">
        <w:trPr>
          <w:trHeight w:val="720"/>
        </w:trPr>
        <w:tc>
          <w:tcPr>
            <w:tcW w:w="720" w:type="dxa"/>
          </w:tcPr>
          <w:p w:rsidR="00CC322D" w:rsidRPr="0077051B" w:rsidRDefault="00CC322D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CC322D" w:rsidRPr="0077051B" w:rsidRDefault="00CC322D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1D337E" w:rsidRPr="0077051B"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1974" w:type="dxa"/>
          </w:tcPr>
          <w:p w:rsidR="00CC322D" w:rsidRPr="0077051B" w:rsidRDefault="001D337E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Pozostałe koszty operacyjne</w:t>
            </w:r>
          </w:p>
        </w:tc>
        <w:tc>
          <w:tcPr>
            <w:tcW w:w="3739" w:type="dxa"/>
          </w:tcPr>
          <w:p w:rsidR="00CC322D" w:rsidRPr="0077051B" w:rsidRDefault="00CC322D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</w:t>
            </w:r>
            <w:r w:rsidR="001D337E" w:rsidRPr="0077051B">
              <w:rPr>
                <w:rFonts w:ascii="Arial" w:hAnsi="Arial" w:cs="Arial"/>
                <w:sz w:val="24"/>
                <w:szCs w:val="24"/>
              </w:rPr>
              <w:t xml:space="preserve"> ewidencji kosztów niezwiązanych bezpośrednio z podstawową działalnością jednostki</w:t>
            </w:r>
          </w:p>
        </w:tc>
        <w:tc>
          <w:tcPr>
            <w:tcW w:w="1684" w:type="dxa"/>
          </w:tcPr>
          <w:p w:rsidR="00CC322D" w:rsidRPr="0077051B" w:rsidRDefault="00CC322D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Technika </w:t>
            </w:r>
            <w:r w:rsidR="00344773" w:rsidRPr="0077051B">
              <w:rPr>
                <w:rFonts w:ascii="Arial" w:hAnsi="Arial" w:cs="Arial"/>
                <w:sz w:val="24"/>
                <w:szCs w:val="24"/>
              </w:rPr>
              <w:t>komputerowa</w:t>
            </w:r>
          </w:p>
        </w:tc>
      </w:tr>
      <w:tr w:rsidR="000D760F" w:rsidRPr="0077051B" w:rsidTr="00C06A73">
        <w:trPr>
          <w:trHeight w:val="108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Fundusze, rezerwy i wynik finansowy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60F" w:rsidRPr="0077051B" w:rsidTr="00C06A73">
        <w:trPr>
          <w:trHeight w:val="142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Fundusz jednostki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Prowadzona jest w podziale wg rodzajów funduszy w celu sporządzenia sprawozdania „Zestawienie zmian w funduszu jednostki”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115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851</w:t>
            </w:r>
          </w:p>
        </w:tc>
        <w:tc>
          <w:tcPr>
            <w:tcW w:w="19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Zakładowy Fundusz Świadczeń Socjalnych</w:t>
            </w:r>
          </w:p>
        </w:tc>
        <w:tc>
          <w:tcPr>
            <w:tcW w:w="373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Ewidencja prowadzona jest w sposób umożliwiający ustalenie zwiększenia, zmniejszenia oraz stanu funduszu</w:t>
            </w: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  <w:tr w:rsidR="000D760F" w:rsidRPr="0077051B" w:rsidTr="00C06A73">
        <w:trPr>
          <w:trHeight w:val="106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860</w:t>
            </w:r>
          </w:p>
        </w:tc>
        <w:tc>
          <w:tcPr>
            <w:tcW w:w="1974" w:type="dxa"/>
          </w:tcPr>
          <w:p w:rsidR="000D760F" w:rsidRPr="0077051B" w:rsidRDefault="004919B4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Wynik finansowy</w:t>
            </w:r>
          </w:p>
        </w:tc>
        <w:tc>
          <w:tcPr>
            <w:tcW w:w="373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Prowadzona jest dla wyniku finansowego jednostki</w:t>
            </w: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Technika komputerowa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245FAA" w:rsidRPr="0077051B" w:rsidRDefault="00245FAA" w:rsidP="0064634B">
      <w:pPr>
        <w:rPr>
          <w:rFonts w:ascii="Arial" w:hAnsi="Arial" w:cs="Arial"/>
          <w:b/>
          <w:sz w:val="24"/>
          <w:szCs w:val="24"/>
        </w:rPr>
      </w:pPr>
    </w:p>
    <w:p w:rsidR="00245FAA" w:rsidRPr="0077051B" w:rsidRDefault="00245FAA" w:rsidP="0064634B">
      <w:pPr>
        <w:rPr>
          <w:rFonts w:ascii="Arial" w:hAnsi="Arial" w:cs="Arial"/>
          <w:b/>
          <w:sz w:val="24"/>
          <w:szCs w:val="24"/>
        </w:rPr>
      </w:pPr>
    </w:p>
    <w:p w:rsidR="00245FAA" w:rsidRPr="0077051B" w:rsidRDefault="00245FAA" w:rsidP="0064634B">
      <w:pPr>
        <w:rPr>
          <w:rFonts w:ascii="Arial" w:hAnsi="Arial" w:cs="Arial"/>
          <w:b/>
          <w:sz w:val="24"/>
          <w:szCs w:val="24"/>
        </w:rPr>
      </w:pPr>
    </w:p>
    <w:p w:rsidR="00245FAA" w:rsidRPr="0077051B" w:rsidRDefault="00245FAA" w:rsidP="0064634B">
      <w:pPr>
        <w:rPr>
          <w:rFonts w:ascii="Arial" w:hAnsi="Arial" w:cs="Arial"/>
          <w:b/>
          <w:sz w:val="24"/>
          <w:szCs w:val="24"/>
        </w:rPr>
      </w:pPr>
    </w:p>
    <w:p w:rsidR="00245FAA" w:rsidRDefault="00245FAA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77051B" w:rsidRPr="0077051B" w:rsidRDefault="0077051B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B0695E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lastRenderedPageBreak/>
        <w:t>Z</w:t>
      </w:r>
      <w:r w:rsidR="000D760F" w:rsidRPr="0077051B">
        <w:rPr>
          <w:rFonts w:ascii="Arial" w:hAnsi="Arial" w:cs="Arial"/>
          <w:b/>
          <w:sz w:val="24"/>
          <w:szCs w:val="24"/>
        </w:rPr>
        <w:t xml:space="preserve">asady funkcjonowania kont dla </w:t>
      </w:r>
      <w:r w:rsidR="009E0496" w:rsidRPr="0077051B">
        <w:rPr>
          <w:rFonts w:ascii="Arial" w:hAnsi="Arial" w:cs="Arial"/>
          <w:b/>
          <w:sz w:val="24"/>
          <w:szCs w:val="24"/>
        </w:rPr>
        <w:t>DDSW w Sławkowie</w:t>
      </w:r>
    </w:p>
    <w:p w:rsidR="000D760F" w:rsidRPr="0077051B" w:rsidRDefault="00245FAA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część opisowa do załącznika nr </w:t>
      </w:r>
      <w:r w:rsidR="003D477E" w:rsidRPr="0077051B">
        <w:rPr>
          <w:rFonts w:ascii="Arial" w:hAnsi="Arial" w:cs="Arial"/>
          <w:b/>
          <w:sz w:val="24"/>
          <w:szCs w:val="24"/>
        </w:rPr>
        <w:t>2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do Zakładowego Planu Kont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553415" w:rsidRPr="0077051B" w:rsidRDefault="00553415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1. </w:t>
      </w:r>
      <w:r w:rsidRPr="0077051B">
        <w:rPr>
          <w:rFonts w:ascii="Arial" w:hAnsi="Arial" w:cs="Arial"/>
          <w:b/>
          <w:i/>
          <w:sz w:val="24"/>
          <w:szCs w:val="24"/>
        </w:rPr>
        <w:t>Konta bilansowe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0 – „Majątek trwały”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Konta zespołu 0 „Majątek trwały” służą do ewidencji:</w:t>
      </w:r>
    </w:p>
    <w:p w:rsidR="000D760F" w:rsidRPr="0077051B" w:rsidRDefault="000D760F" w:rsidP="0064634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rzeczowego majątku trwałego,</w:t>
      </w:r>
    </w:p>
    <w:p w:rsidR="000D760F" w:rsidRPr="0077051B" w:rsidRDefault="000D760F" w:rsidP="0064634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wartości niematerialnych i prawnych,</w:t>
      </w:r>
    </w:p>
    <w:p w:rsidR="000D760F" w:rsidRPr="0077051B" w:rsidRDefault="00C06A73" w:rsidP="0064634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długotrwałych aktywów finansowych</w:t>
      </w:r>
    </w:p>
    <w:p w:rsidR="000D760F" w:rsidRPr="0077051B" w:rsidRDefault="00C06A73" w:rsidP="0064634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umorzenia składników aktywów trwałych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011 „Środki trwałe”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Konto </w:t>
      </w:r>
      <w:r w:rsidRPr="0077051B">
        <w:rPr>
          <w:rFonts w:ascii="Arial" w:hAnsi="Arial" w:cs="Arial"/>
          <w:b/>
          <w:sz w:val="24"/>
          <w:szCs w:val="24"/>
        </w:rPr>
        <w:t xml:space="preserve">011 </w:t>
      </w:r>
      <w:r w:rsidRPr="0077051B">
        <w:rPr>
          <w:rFonts w:ascii="Arial" w:hAnsi="Arial" w:cs="Arial"/>
          <w:sz w:val="24"/>
          <w:szCs w:val="24"/>
        </w:rPr>
        <w:t>służy do ewidencji stanu zwiększeń i zmniejszeń wartości początkowej środków trwałych związanych z wykonywaną działalnością jednostki, które nie</w:t>
      </w:r>
      <w:r w:rsidR="00C06A73">
        <w:rPr>
          <w:rFonts w:ascii="Arial" w:hAnsi="Arial" w:cs="Arial"/>
          <w:sz w:val="24"/>
          <w:szCs w:val="24"/>
        </w:rPr>
        <w:t xml:space="preserve"> podlegają u</w:t>
      </w:r>
      <w:r w:rsidR="007624C3">
        <w:rPr>
          <w:rFonts w:ascii="Arial" w:hAnsi="Arial" w:cs="Arial"/>
          <w:sz w:val="24"/>
          <w:szCs w:val="24"/>
        </w:rPr>
        <w:t>jęciu na koncie 013,014,</w:t>
      </w:r>
    </w:p>
    <w:p w:rsidR="004E60A7" w:rsidRPr="0077051B" w:rsidRDefault="004E60A7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2018 roku na ewidencję środków trwałych przyjmuje się rzeczowe składniki majątku o wartości powyżej 10.000 złotych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011 </w:t>
      </w:r>
      <w:r w:rsidRPr="0077051B">
        <w:rPr>
          <w:rFonts w:ascii="Arial" w:hAnsi="Arial" w:cs="Arial"/>
          <w:sz w:val="24"/>
          <w:szCs w:val="24"/>
        </w:rPr>
        <w:t xml:space="preserve">ujmuje się zwiększenia, </w:t>
      </w:r>
      <w:r w:rsidR="00175E1F">
        <w:rPr>
          <w:rFonts w:ascii="Arial" w:hAnsi="Arial" w:cs="Arial"/>
          <w:sz w:val="24"/>
          <w:szCs w:val="24"/>
        </w:rPr>
        <w:t xml:space="preserve"> tj. przychody  nowych lub używanych środków trwałych pochodzących z zakupu gotowych środków trwałych lub inwestycji oraz wartość ulepszeń zwiększających wartość początkową środków trwałych , przychody środków trwałych nowo ujawnionych  , nieodpłatnie przyjętych środków trwałych ,</w:t>
      </w:r>
      <w:r w:rsidRPr="0077051B">
        <w:rPr>
          <w:rFonts w:ascii="Arial" w:hAnsi="Arial" w:cs="Arial"/>
          <w:sz w:val="24"/>
          <w:szCs w:val="24"/>
        </w:rPr>
        <w:t>a na stronie</w:t>
      </w:r>
      <w:r w:rsidRPr="0077051B">
        <w:rPr>
          <w:rFonts w:ascii="Arial" w:hAnsi="Arial" w:cs="Arial"/>
          <w:b/>
          <w:sz w:val="24"/>
          <w:szCs w:val="24"/>
        </w:rPr>
        <w:t xml:space="preserve"> Ma –</w:t>
      </w:r>
      <w:r w:rsidR="0077051B">
        <w:rPr>
          <w:rFonts w:ascii="Arial" w:hAnsi="Arial" w:cs="Arial"/>
          <w:sz w:val="24"/>
          <w:szCs w:val="24"/>
        </w:rPr>
        <w:t xml:space="preserve"> zmniejszenia stanu </w:t>
      </w:r>
      <w:r w:rsidRPr="0077051B">
        <w:rPr>
          <w:rFonts w:ascii="Arial" w:hAnsi="Arial" w:cs="Arial"/>
          <w:sz w:val="24"/>
          <w:szCs w:val="24"/>
        </w:rPr>
        <w:t xml:space="preserve">i wartości początkowej środków trwałych, z wyjątkiem umorzenia środków trwałych, które ujmuje się na koncie 071.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011 </w:t>
      </w:r>
      <w:r w:rsidRPr="0077051B">
        <w:rPr>
          <w:rFonts w:ascii="Arial" w:hAnsi="Arial" w:cs="Arial"/>
          <w:sz w:val="24"/>
          <w:szCs w:val="24"/>
        </w:rPr>
        <w:t>ujmuje się w szczególności - w korespondencji z kontami: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11"/>
        <w:gridCol w:w="7380"/>
      </w:tblGrid>
      <w:tr w:rsidR="000D760F" w:rsidRPr="0077051B" w:rsidTr="0077051B">
        <w:trPr>
          <w:trHeight w:val="285"/>
        </w:trPr>
        <w:tc>
          <w:tcPr>
            <w:tcW w:w="709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911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 w:rsidTr="0077051B">
        <w:trPr>
          <w:trHeight w:val="540"/>
        </w:trPr>
        <w:tc>
          <w:tcPr>
            <w:tcW w:w="70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911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D74CA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nowych lub używanych środków trwałych pochodzących z zakupu gotowych środków trwałych lub inwestycji oraz wartość ulepszeń zwiększających wartość początkową środków trwałych</w:t>
            </w:r>
          </w:p>
        </w:tc>
      </w:tr>
      <w:tr w:rsidR="000D760F" w:rsidRPr="0077051B" w:rsidTr="0077051B">
        <w:trPr>
          <w:trHeight w:val="345"/>
        </w:trPr>
        <w:tc>
          <w:tcPr>
            <w:tcW w:w="70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911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środków trwałych nowo ujawnionych</w:t>
            </w:r>
          </w:p>
        </w:tc>
      </w:tr>
      <w:tr w:rsidR="000D760F" w:rsidRPr="0077051B" w:rsidTr="0077051B">
        <w:trPr>
          <w:trHeight w:val="525"/>
        </w:trPr>
        <w:tc>
          <w:tcPr>
            <w:tcW w:w="70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911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Nieodpłatne przejęcie środków trwałych</w:t>
            </w:r>
          </w:p>
        </w:tc>
      </w:tr>
      <w:tr w:rsidR="000D760F" w:rsidRPr="0077051B" w:rsidTr="0077051B">
        <w:trPr>
          <w:trHeight w:val="540"/>
        </w:trPr>
        <w:tc>
          <w:tcPr>
            <w:tcW w:w="709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911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Zwiększenia wartości początkowej środków trwałych dokonywane na skutek aktualizacji ich wyceny </w:t>
            </w:r>
          </w:p>
        </w:tc>
      </w:tr>
    </w:tbl>
    <w:p w:rsidR="000D760F" w:rsidRDefault="000D760F" w:rsidP="0064634B">
      <w:pPr>
        <w:rPr>
          <w:rFonts w:ascii="Arial" w:hAnsi="Arial" w:cs="Arial"/>
          <w:sz w:val="24"/>
          <w:szCs w:val="24"/>
        </w:rPr>
      </w:pPr>
    </w:p>
    <w:p w:rsidR="00F457B4" w:rsidRDefault="00F457B4" w:rsidP="0064634B">
      <w:pPr>
        <w:rPr>
          <w:rFonts w:ascii="Arial" w:hAnsi="Arial" w:cs="Arial"/>
          <w:sz w:val="24"/>
          <w:szCs w:val="24"/>
        </w:rPr>
      </w:pPr>
    </w:p>
    <w:p w:rsidR="00F457B4" w:rsidRDefault="00F457B4" w:rsidP="0064634B">
      <w:pPr>
        <w:rPr>
          <w:rFonts w:ascii="Arial" w:hAnsi="Arial" w:cs="Arial"/>
          <w:sz w:val="24"/>
          <w:szCs w:val="24"/>
        </w:rPr>
      </w:pPr>
    </w:p>
    <w:p w:rsidR="00F457B4" w:rsidRPr="0077051B" w:rsidRDefault="00F457B4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011 </w:t>
      </w:r>
      <w:r w:rsidRPr="0077051B">
        <w:rPr>
          <w:rFonts w:ascii="Arial" w:hAnsi="Arial" w:cs="Arial"/>
          <w:sz w:val="24"/>
          <w:szCs w:val="24"/>
        </w:rPr>
        <w:t>ujmuje się w szczególności – w korespondencji z kontami: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7560"/>
      </w:tblGrid>
      <w:tr w:rsidR="000D760F" w:rsidRPr="0077051B">
        <w:trPr>
          <w:trHeight w:val="30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56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52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756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Wycofanie środków trwałych z używania na skutek ich likwidacji, z powodu zniszczenia lub zużycia, sprzedaży oraz nieodpłatnego przekazania</w:t>
            </w:r>
          </w:p>
        </w:tc>
      </w:tr>
      <w:tr w:rsidR="000D760F" w:rsidRPr="0077051B">
        <w:trPr>
          <w:trHeight w:val="525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756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Ujawnione niedobory środków trwałych</w:t>
            </w:r>
          </w:p>
        </w:tc>
      </w:tr>
      <w:tr w:rsidR="000D760F" w:rsidRPr="0077051B">
        <w:trPr>
          <w:trHeight w:val="630"/>
        </w:trPr>
        <w:tc>
          <w:tcPr>
            <w:tcW w:w="7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756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Zmniejszenia wartości początkowej środków trwałych dokonywane na skutek aktualizacji ich wyceny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011 powinna umożliwić:</w:t>
      </w:r>
    </w:p>
    <w:p w:rsidR="000D760F" w:rsidRPr="0077051B" w:rsidRDefault="000D760F" w:rsidP="0064634B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ustalenie wartości poc</w:t>
      </w:r>
      <w:r w:rsidR="00D74CA3" w:rsidRPr="0077051B">
        <w:rPr>
          <w:rFonts w:ascii="Arial" w:hAnsi="Arial" w:cs="Arial"/>
          <w:sz w:val="24"/>
          <w:szCs w:val="24"/>
        </w:rPr>
        <w:t xml:space="preserve">zątkowej poszczególnych </w:t>
      </w:r>
      <w:r w:rsidRPr="0077051B">
        <w:rPr>
          <w:rFonts w:ascii="Arial" w:hAnsi="Arial" w:cs="Arial"/>
          <w:sz w:val="24"/>
          <w:szCs w:val="24"/>
        </w:rPr>
        <w:t xml:space="preserve"> środków trwałych,</w:t>
      </w:r>
    </w:p>
    <w:p w:rsidR="000D760F" w:rsidRPr="0077051B" w:rsidRDefault="000D760F" w:rsidP="0064634B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ustalenia osób lub komórek organizacyjnych, którym powierzono środki trwałe,</w:t>
      </w:r>
    </w:p>
    <w:p w:rsidR="000D760F" w:rsidRDefault="000D760F" w:rsidP="0064634B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należyte obliczanie umorzenia i amortyzacji.</w:t>
      </w:r>
    </w:p>
    <w:p w:rsidR="00175E1F" w:rsidRPr="0077051B" w:rsidRDefault="00175E1F" w:rsidP="0064634B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Ustalenie wartości gruntów stanowiących własność jednostki samorządu terytorialnego przekazanych w użytkowanie wieczyste innym podmiotom.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011</w:t>
      </w:r>
      <w:r w:rsidRPr="0077051B">
        <w:rPr>
          <w:rFonts w:ascii="Arial" w:hAnsi="Arial" w:cs="Arial"/>
          <w:sz w:val="24"/>
          <w:szCs w:val="24"/>
        </w:rPr>
        <w:t xml:space="preserve"> może wykazywać </w:t>
      </w:r>
      <w:r w:rsidRPr="0077051B">
        <w:rPr>
          <w:rFonts w:ascii="Arial" w:hAnsi="Arial" w:cs="Arial"/>
          <w:b/>
          <w:sz w:val="24"/>
          <w:szCs w:val="24"/>
        </w:rPr>
        <w:t>saldo Wn,</w:t>
      </w:r>
      <w:r w:rsidRPr="0077051B">
        <w:rPr>
          <w:rFonts w:ascii="Arial" w:hAnsi="Arial" w:cs="Arial"/>
          <w:sz w:val="24"/>
          <w:szCs w:val="24"/>
        </w:rPr>
        <w:t xml:space="preserve"> które oznacza stan środków </w:t>
      </w:r>
      <w:r w:rsidR="00065411" w:rsidRPr="0077051B">
        <w:rPr>
          <w:rFonts w:ascii="Arial" w:hAnsi="Arial" w:cs="Arial"/>
          <w:sz w:val="24"/>
          <w:szCs w:val="24"/>
        </w:rPr>
        <w:t>trwałych w wartości początkowej, ewentualnie skorygowanej w wyniku zarządzonej aktualizacji wyceny lub ulepszenia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013 „Pozostałe środki trwałe”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Konto </w:t>
      </w:r>
      <w:r w:rsidRPr="0077051B">
        <w:rPr>
          <w:rFonts w:ascii="Arial" w:hAnsi="Arial" w:cs="Arial"/>
          <w:b/>
          <w:sz w:val="24"/>
          <w:szCs w:val="24"/>
        </w:rPr>
        <w:t xml:space="preserve">013 </w:t>
      </w:r>
      <w:r w:rsidRPr="0077051B">
        <w:rPr>
          <w:rFonts w:ascii="Arial" w:hAnsi="Arial" w:cs="Arial"/>
          <w:sz w:val="24"/>
          <w:szCs w:val="24"/>
        </w:rPr>
        <w:t>służy do ewidencji stanu zwiększeń i zmniejszeń wartości początkowej pozostałych środków trwałych, nie podlegających ujęciu na koncie 011 „</w:t>
      </w:r>
      <w:r w:rsidR="00C06A73">
        <w:rPr>
          <w:rFonts w:ascii="Arial" w:hAnsi="Arial" w:cs="Arial"/>
          <w:sz w:val="24"/>
          <w:szCs w:val="24"/>
        </w:rPr>
        <w:t xml:space="preserve">014,016, i 017 </w:t>
      </w:r>
      <w:r w:rsidRPr="0077051B">
        <w:rPr>
          <w:rFonts w:ascii="Arial" w:hAnsi="Arial" w:cs="Arial"/>
          <w:sz w:val="24"/>
          <w:szCs w:val="24"/>
        </w:rPr>
        <w:t>środki trwałe”, wydanych do używania na potrzeby działalności podstawowej jednostki, które podlegają umorzeniu w pełnej wartości w miesiącu wydania do używania. Do środków tych należą środki trwałe o okres</w:t>
      </w:r>
      <w:r w:rsidR="004E60A7">
        <w:rPr>
          <w:rFonts w:ascii="Arial" w:hAnsi="Arial" w:cs="Arial"/>
          <w:sz w:val="24"/>
          <w:szCs w:val="24"/>
        </w:rPr>
        <w:t>ie użytkowania dłuższym niż rok o wartości początkowej do 10.000 złotych</w:t>
      </w:r>
    </w:p>
    <w:p w:rsidR="000D760F" w:rsidRPr="0077051B" w:rsidRDefault="000D760F" w:rsidP="0064634B">
      <w:pPr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wszystkie środki o wa</w:t>
      </w:r>
      <w:r w:rsidR="00197C1C">
        <w:rPr>
          <w:rFonts w:ascii="Arial" w:hAnsi="Arial" w:cs="Arial"/>
          <w:sz w:val="24"/>
          <w:szCs w:val="24"/>
        </w:rPr>
        <w:t xml:space="preserve">rtości początkowej poniżej kwoty określonej w ustawie o podatku dochodowym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013 </w:t>
      </w:r>
      <w:r w:rsidRPr="0077051B">
        <w:rPr>
          <w:rFonts w:ascii="Arial" w:hAnsi="Arial" w:cs="Arial"/>
          <w:sz w:val="24"/>
          <w:szCs w:val="24"/>
        </w:rPr>
        <w:t xml:space="preserve">ujmuje się zwiększenia, a 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013 </w:t>
      </w:r>
      <w:r w:rsidRPr="0077051B">
        <w:rPr>
          <w:rFonts w:ascii="Arial" w:hAnsi="Arial" w:cs="Arial"/>
          <w:sz w:val="24"/>
          <w:szCs w:val="24"/>
        </w:rPr>
        <w:t>zmniejszenia stanu początkowego pozostałych środków trwałych znajdujących się w używaniu. Umorzenia pozostałych środków trwałych w używaniu ewidencjonuje się na koncie 072 „Umorzenie pozostałych środków trwałych oraz wartości niematerialnych i prawnych”.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013</w:t>
      </w:r>
      <w:r w:rsidRPr="0077051B">
        <w:rPr>
          <w:rFonts w:ascii="Arial" w:hAnsi="Arial" w:cs="Arial"/>
          <w:sz w:val="24"/>
          <w:szCs w:val="24"/>
        </w:rPr>
        <w:t xml:space="preserve"> ujmuje się w szczególności (w korespondencji z kontami): 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340"/>
        <w:gridCol w:w="6966"/>
      </w:tblGrid>
      <w:tr w:rsidR="000D760F" w:rsidRPr="0077051B">
        <w:trPr>
          <w:trHeight w:val="345"/>
        </w:trPr>
        <w:tc>
          <w:tcPr>
            <w:tcW w:w="874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34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6966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360"/>
        </w:trPr>
        <w:tc>
          <w:tcPr>
            <w:tcW w:w="87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1340" w:type="dxa"/>
          </w:tcPr>
          <w:p w:rsidR="000D760F" w:rsidRPr="0077051B" w:rsidRDefault="00D74CA3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6966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środki trwałe przyjęte do używania z zakupu lub inwestycji</w:t>
            </w:r>
          </w:p>
        </w:tc>
      </w:tr>
      <w:tr w:rsidR="000D760F" w:rsidRPr="0077051B">
        <w:trPr>
          <w:trHeight w:val="345"/>
        </w:trPr>
        <w:tc>
          <w:tcPr>
            <w:tcW w:w="87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134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6966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Nadwyżki środków trwałych w używaniu</w:t>
            </w:r>
          </w:p>
        </w:tc>
      </w:tr>
      <w:tr w:rsidR="000D760F" w:rsidRPr="0077051B">
        <w:trPr>
          <w:trHeight w:val="345"/>
        </w:trPr>
        <w:tc>
          <w:tcPr>
            <w:tcW w:w="874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134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072,760</w:t>
            </w:r>
          </w:p>
        </w:tc>
        <w:tc>
          <w:tcPr>
            <w:tcW w:w="6966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Nieodpłatne otrzymanie pozostałych środków trwałych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>Na stronie</w:t>
      </w:r>
      <w:r w:rsidRPr="0077051B">
        <w:rPr>
          <w:rFonts w:ascii="Arial" w:hAnsi="Arial" w:cs="Arial"/>
          <w:b/>
          <w:sz w:val="24"/>
          <w:szCs w:val="24"/>
        </w:rPr>
        <w:t xml:space="preserve"> Ma konta 013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7020"/>
      </w:tblGrid>
      <w:tr w:rsidR="000D760F" w:rsidRPr="0077051B">
        <w:trPr>
          <w:trHeight w:val="40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26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52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126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Wycofanie pozostałych środków trwałych z używania na skutek ich likwidacji, zniszczenia lub zużycia, sprzedaży, nieodpłatnego przekazania oraz zdjęcia z ewidencji syntetycznej</w:t>
            </w:r>
          </w:p>
        </w:tc>
      </w:tr>
      <w:tr w:rsidR="000D760F" w:rsidRPr="0077051B">
        <w:trPr>
          <w:trHeight w:val="660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6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Ujawnione niedobory środków trwałych w używaniu (równocześnie należy wyksięgować umorzenie z konta 072 na Ma 240)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013 powinna umożliwić ustalenie wartości początkowej i ilości poszczególnych pozostałych środków trwałych oddanych do</w:t>
      </w:r>
      <w:r w:rsidR="006D26F4">
        <w:rPr>
          <w:rFonts w:ascii="Arial" w:hAnsi="Arial" w:cs="Arial"/>
          <w:sz w:val="24"/>
          <w:szCs w:val="24"/>
        </w:rPr>
        <w:t xml:space="preserve"> używania .</w:t>
      </w:r>
    </w:p>
    <w:p w:rsidR="00197C1C" w:rsidRPr="0077051B" w:rsidRDefault="00197C1C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013</w:t>
      </w:r>
      <w:r w:rsidRPr="0077051B">
        <w:rPr>
          <w:rFonts w:ascii="Arial" w:hAnsi="Arial" w:cs="Arial"/>
          <w:sz w:val="24"/>
          <w:szCs w:val="24"/>
        </w:rPr>
        <w:t xml:space="preserve"> może wykazywać </w:t>
      </w:r>
      <w:r w:rsidRPr="0077051B">
        <w:rPr>
          <w:rFonts w:ascii="Arial" w:hAnsi="Arial" w:cs="Arial"/>
          <w:b/>
          <w:sz w:val="24"/>
          <w:szCs w:val="24"/>
        </w:rPr>
        <w:t>saldo Wn,</w:t>
      </w:r>
      <w:r w:rsidRPr="0077051B">
        <w:rPr>
          <w:rFonts w:ascii="Arial" w:hAnsi="Arial" w:cs="Arial"/>
          <w:sz w:val="24"/>
          <w:szCs w:val="24"/>
        </w:rPr>
        <w:t xml:space="preserve"> które oznacza wartość początkową objętych ewidencją księgową pozostałych środków trwały</w:t>
      </w:r>
      <w:r w:rsidR="00491E2C" w:rsidRPr="0077051B">
        <w:rPr>
          <w:rFonts w:ascii="Arial" w:hAnsi="Arial" w:cs="Arial"/>
          <w:sz w:val="24"/>
          <w:szCs w:val="24"/>
        </w:rPr>
        <w:t>ch znajdujących się w używaniu w wartości początkowej</w:t>
      </w:r>
    </w:p>
    <w:p w:rsidR="00362800" w:rsidRDefault="00362800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362800" w:rsidRDefault="0036280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62800">
        <w:rPr>
          <w:rFonts w:ascii="Arial" w:hAnsi="Arial" w:cs="Arial"/>
          <w:b/>
          <w:sz w:val="24"/>
          <w:szCs w:val="24"/>
        </w:rPr>
        <w:t>Konto 014 – Zbiory biblioteczne</w:t>
      </w:r>
    </w:p>
    <w:p w:rsidR="00362800" w:rsidRDefault="0036280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2800" w:rsidRDefault="0036280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362800">
        <w:rPr>
          <w:rFonts w:ascii="Arial" w:hAnsi="Arial" w:cs="Arial"/>
          <w:sz w:val="24"/>
          <w:szCs w:val="24"/>
        </w:rPr>
        <w:t xml:space="preserve">Konto </w:t>
      </w:r>
      <w:r w:rsidRPr="00362800">
        <w:rPr>
          <w:rFonts w:ascii="Arial" w:hAnsi="Arial" w:cs="Arial"/>
          <w:b/>
          <w:sz w:val="24"/>
          <w:szCs w:val="24"/>
        </w:rPr>
        <w:t>014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2800">
        <w:rPr>
          <w:rFonts w:ascii="Arial" w:hAnsi="Arial" w:cs="Arial"/>
          <w:sz w:val="24"/>
          <w:szCs w:val="24"/>
        </w:rPr>
        <w:t>służy do ewidencji stanu oraz zwiększeń i zmniejszeń</w:t>
      </w:r>
      <w:r>
        <w:rPr>
          <w:rFonts w:ascii="Arial" w:hAnsi="Arial" w:cs="Arial"/>
          <w:sz w:val="24"/>
          <w:szCs w:val="24"/>
        </w:rPr>
        <w:t xml:space="preserve"> wartości zbiorów bibliotecznych  DDSW.</w:t>
      </w:r>
    </w:p>
    <w:p w:rsidR="00362800" w:rsidRDefault="00362800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Wn  konta </w:t>
      </w:r>
      <w:r w:rsidRPr="00BE3F30">
        <w:rPr>
          <w:rFonts w:ascii="Arial" w:hAnsi="Arial" w:cs="Arial"/>
          <w:b/>
          <w:sz w:val="24"/>
          <w:szCs w:val="24"/>
        </w:rPr>
        <w:t xml:space="preserve">014 </w:t>
      </w:r>
      <w:r>
        <w:rPr>
          <w:rFonts w:ascii="Arial" w:hAnsi="Arial" w:cs="Arial"/>
          <w:sz w:val="24"/>
          <w:szCs w:val="24"/>
        </w:rPr>
        <w:t xml:space="preserve">ujmuje się zwiększenia( zakupy książek </w:t>
      </w:r>
      <w:r w:rsidR="00BE3F30">
        <w:rPr>
          <w:rFonts w:ascii="Arial" w:hAnsi="Arial" w:cs="Arial"/>
          <w:sz w:val="24"/>
          <w:szCs w:val="24"/>
        </w:rPr>
        <w:t xml:space="preserve">, nieodpłatne otrzymanie , nadwyżki </w:t>
      </w:r>
      <w:r>
        <w:rPr>
          <w:rFonts w:ascii="Arial" w:hAnsi="Arial" w:cs="Arial"/>
          <w:sz w:val="24"/>
          <w:szCs w:val="24"/>
        </w:rPr>
        <w:t>), a na stronie Ma – zmniejszenia stanu</w:t>
      </w:r>
      <w:r w:rsidR="00BE3F30">
        <w:rPr>
          <w:rFonts w:ascii="Arial" w:hAnsi="Arial" w:cs="Arial"/>
          <w:sz w:val="24"/>
          <w:szCs w:val="24"/>
        </w:rPr>
        <w:t xml:space="preserve"> ( niedobory , rozchód książek w skutek likwidacji )</w:t>
      </w:r>
      <w:r>
        <w:rPr>
          <w:rFonts w:ascii="Arial" w:hAnsi="Arial" w:cs="Arial"/>
          <w:sz w:val="24"/>
          <w:szCs w:val="24"/>
        </w:rPr>
        <w:t xml:space="preserve"> i wartości </w:t>
      </w:r>
      <w:r w:rsidR="00BE3F30">
        <w:rPr>
          <w:rFonts w:ascii="Arial" w:hAnsi="Arial" w:cs="Arial"/>
          <w:sz w:val="24"/>
          <w:szCs w:val="24"/>
        </w:rPr>
        <w:t>początkowej zbiorów , z wyjątkiem umorzenia , które ujmuje się na  koncie 072.</w:t>
      </w:r>
    </w:p>
    <w:p w:rsidR="00BE3F30" w:rsidRDefault="00BE3F30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Przychody i rozchody książek wycenia się  wg. cen nabycia .Przychody z tytułu nieodpłatnego otrzymania lub nadwyżki wycenia się zgodnie z komisyjnym oszacowaniem ich wartości.</w:t>
      </w:r>
    </w:p>
    <w:p w:rsidR="007624C3" w:rsidRDefault="00BE3F30" w:rsidP="007624C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Konto </w:t>
      </w:r>
      <w:r w:rsidRPr="00BE3F30">
        <w:rPr>
          <w:rFonts w:ascii="Arial" w:hAnsi="Arial" w:cs="Arial"/>
          <w:b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 xml:space="preserve"> może wykazywać saldo Wn , które oznacza stan zbiorów bibliotecznych znajdujących się w DDSW.</w:t>
      </w:r>
      <w:r w:rsidR="007624C3" w:rsidRPr="007624C3">
        <w:rPr>
          <w:rFonts w:ascii="Arial" w:hAnsi="Arial" w:cs="Arial"/>
          <w:sz w:val="24"/>
          <w:szCs w:val="24"/>
        </w:rPr>
        <w:t xml:space="preserve"> </w:t>
      </w:r>
    </w:p>
    <w:p w:rsidR="007624C3" w:rsidRDefault="007624C3" w:rsidP="007624C3">
      <w:pPr>
        <w:spacing w:line="276" w:lineRule="auto"/>
        <w:rPr>
          <w:rFonts w:ascii="Arial" w:hAnsi="Arial" w:cs="Arial"/>
          <w:sz w:val="24"/>
          <w:szCs w:val="24"/>
        </w:rPr>
      </w:pPr>
    </w:p>
    <w:p w:rsidR="007624C3" w:rsidRPr="0077051B" w:rsidRDefault="007624C3" w:rsidP="007624C3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>
        <w:rPr>
          <w:rFonts w:ascii="Arial" w:hAnsi="Arial" w:cs="Arial"/>
          <w:b/>
          <w:sz w:val="24"/>
          <w:szCs w:val="24"/>
        </w:rPr>
        <w:t>Wn konta 014</w:t>
      </w:r>
      <w:r w:rsidRPr="0077051B">
        <w:rPr>
          <w:rFonts w:ascii="Arial" w:hAnsi="Arial" w:cs="Arial"/>
          <w:b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7624C3" w:rsidRPr="0077051B" w:rsidRDefault="007624C3" w:rsidP="007624C3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7624C3" w:rsidRPr="0077051B" w:rsidTr="00432F88">
        <w:trPr>
          <w:trHeight w:val="132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 Wn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7624C3" w:rsidRPr="0077051B" w:rsidTr="00432F88">
        <w:trPr>
          <w:trHeight w:val="112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130, 201, 240</w:t>
            </w:r>
          </w:p>
        </w:tc>
        <w:tc>
          <w:tcPr>
            <w:tcW w:w="7380" w:type="dxa"/>
          </w:tcPr>
          <w:p w:rsidR="007624C3" w:rsidRPr="0077051B" w:rsidRDefault="007624C3" w:rsidP="007624C3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Przychód </w:t>
            </w:r>
            <w:r>
              <w:rPr>
                <w:rFonts w:ascii="Arial" w:hAnsi="Arial" w:cs="Arial"/>
                <w:sz w:val="24"/>
                <w:szCs w:val="24"/>
              </w:rPr>
              <w:t>książek</w:t>
            </w:r>
          </w:p>
        </w:tc>
      </w:tr>
      <w:tr w:rsidR="007624C3" w:rsidRPr="0077051B" w:rsidTr="00432F88">
        <w:trPr>
          <w:trHeight w:val="258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800,760</w:t>
            </w:r>
          </w:p>
        </w:tc>
        <w:tc>
          <w:tcPr>
            <w:tcW w:w="73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Nieodpłatne otrzymanie </w:t>
            </w:r>
            <w:r>
              <w:rPr>
                <w:rFonts w:ascii="Arial" w:hAnsi="Arial" w:cs="Arial"/>
                <w:sz w:val="24"/>
                <w:szCs w:val="24"/>
              </w:rPr>
              <w:t>książek</w:t>
            </w:r>
          </w:p>
        </w:tc>
      </w:tr>
      <w:tr w:rsidR="007624C3" w:rsidRPr="0077051B" w:rsidTr="00432F88">
        <w:trPr>
          <w:trHeight w:val="144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380" w:type="dxa"/>
          </w:tcPr>
          <w:p w:rsidR="007624C3" w:rsidRPr="0077051B" w:rsidRDefault="007624C3" w:rsidP="007624C3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Nadwyżki inwentaryzacyjne </w:t>
            </w:r>
            <w:r>
              <w:rPr>
                <w:rFonts w:ascii="Arial" w:hAnsi="Arial" w:cs="Arial"/>
                <w:sz w:val="24"/>
                <w:szCs w:val="24"/>
              </w:rPr>
              <w:t>książek</w:t>
            </w:r>
          </w:p>
        </w:tc>
      </w:tr>
    </w:tbl>
    <w:p w:rsidR="007624C3" w:rsidRPr="0077051B" w:rsidRDefault="007624C3" w:rsidP="007624C3">
      <w:pPr>
        <w:rPr>
          <w:rFonts w:ascii="Arial" w:hAnsi="Arial" w:cs="Arial"/>
          <w:sz w:val="24"/>
          <w:szCs w:val="24"/>
        </w:rPr>
      </w:pPr>
    </w:p>
    <w:p w:rsidR="007624C3" w:rsidRPr="0077051B" w:rsidRDefault="007624C3" w:rsidP="007624C3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0</w:t>
      </w:r>
      <w:r>
        <w:rPr>
          <w:rFonts w:ascii="Arial" w:hAnsi="Arial" w:cs="Arial"/>
          <w:b/>
          <w:sz w:val="24"/>
          <w:szCs w:val="24"/>
        </w:rPr>
        <w:t xml:space="preserve">14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7624C3" w:rsidRPr="0077051B" w:rsidRDefault="007624C3" w:rsidP="007624C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7624C3" w:rsidRPr="0077051B" w:rsidTr="00432F88">
        <w:trPr>
          <w:trHeight w:val="375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7624C3" w:rsidRPr="0077051B" w:rsidRDefault="007624C3" w:rsidP="00432F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7624C3" w:rsidRPr="0077051B" w:rsidTr="00432F88">
        <w:trPr>
          <w:trHeight w:val="525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071, 072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3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Rozchód wartości niematerialnych i prawnych, gdy określone prawa wygasły lub są gospodarczo przydatne</w:t>
            </w:r>
          </w:p>
        </w:tc>
      </w:tr>
      <w:tr w:rsidR="007624C3" w:rsidRPr="0077051B" w:rsidTr="00432F88">
        <w:trPr>
          <w:trHeight w:val="312"/>
        </w:trPr>
        <w:tc>
          <w:tcPr>
            <w:tcW w:w="90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0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380" w:type="dxa"/>
          </w:tcPr>
          <w:p w:rsidR="007624C3" w:rsidRPr="0077051B" w:rsidRDefault="007624C3" w:rsidP="00432F88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Niedobór </w:t>
            </w:r>
            <w:r>
              <w:rPr>
                <w:rFonts w:ascii="Arial" w:hAnsi="Arial" w:cs="Arial"/>
                <w:sz w:val="24"/>
                <w:szCs w:val="24"/>
              </w:rPr>
              <w:t>ksiązek</w:t>
            </w:r>
          </w:p>
        </w:tc>
      </w:tr>
    </w:tbl>
    <w:p w:rsidR="00BE3F30" w:rsidRPr="00362800" w:rsidRDefault="00BE3F3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D26F4" w:rsidRDefault="006D26F4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634699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634699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020 „Wartości niematerialne i prawne” 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Konto </w:t>
      </w:r>
      <w:r w:rsidRPr="0077051B">
        <w:rPr>
          <w:rFonts w:ascii="Arial" w:hAnsi="Arial" w:cs="Arial"/>
          <w:b/>
          <w:sz w:val="24"/>
          <w:szCs w:val="24"/>
        </w:rPr>
        <w:t>020</w:t>
      </w:r>
      <w:r w:rsidRPr="0077051B">
        <w:rPr>
          <w:rFonts w:ascii="Arial" w:hAnsi="Arial" w:cs="Arial"/>
          <w:sz w:val="24"/>
          <w:szCs w:val="24"/>
        </w:rPr>
        <w:t xml:space="preserve"> służy do ewidencji stanu oraz zwiększeń i zmniejszeń wartości początkowej wart</w:t>
      </w:r>
      <w:r w:rsidR="004E60A7">
        <w:rPr>
          <w:rFonts w:ascii="Arial" w:hAnsi="Arial" w:cs="Arial"/>
          <w:sz w:val="24"/>
          <w:szCs w:val="24"/>
        </w:rPr>
        <w:t>ości niematerialnych i prawnych tj o wartości początkowej powyżej 10.000 złotych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020 </w:t>
      </w:r>
      <w:r w:rsidRPr="0077051B">
        <w:rPr>
          <w:rFonts w:ascii="Arial" w:hAnsi="Arial" w:cs="Arial"/>
          <w:sz w:val="24"/>
          <w:szCs w:val="24"/>
        </w:rPr>
        <w:t xml:space="preserve">ujmuje się wszelkie zwiększenia a na stronie </w:t>
      </w:r>
      <w:r w:rsidRPr="0077051B">
        <w:rPr>
          <w:rFonts w:ascii="Arial" w:hAnsi="Arial" w:cs="Arial"/>
          <w:b/>
          <w:sz w:val="24"/>
          <w:szCs w:val="24"/>
        </w:rPr>
        <w:t>Ma konta 020</w:t>
      </w:r>
      <w:r w:rsidRPr="0077051B">
        <w:rPr>
          <w:rFonts w:ascii="Arial" w:hAnsi="Arial" w:cs="Arial"/>
          <w:sz w:val="24"/>
          <w:szCs w:val="24"/>
        </w:rPr>
        <w:t xml:space="preserve"> wszelkie zmniejszenia stanu wartości początkowej wartości niematerialnych i prawnych, z wyjątkiem umorzenia ujmowanego na koncie 071 i 072.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020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0D760F" w:rsidRPr="0077051B">
        <w:trPr>
          <w:trHeight w:val="132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 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112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130, 201, 240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Przychód wartości niematerialnych i prawnych</w:t>
            </w:r>
          </w:p>
        </w:tc>
      </w:tr>
      <w:tr w:rsidR="000D760F" w:rsidRPr="0077051B">
        <w:trPr>
          <w:trHeight w:val="258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800,760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Nieodpłatne otrzymanie wartości niematerialnych i prawnych</w:t>
            </w:r>
          </w:p>
        </w:tc>
      </w:tr>
      <w:tr w:rsidR="000D760F" w:rsidRPr="0077051B">
        <w:trPr>
          <w:trHeight w:val="144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Nadwyżki inwentaryzacyjne wartości niematerialnych i prawnych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020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0D760F" w:rsidRPr="0077051B">
        <w:trPr>
          <w:trHeight w:val="37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52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071, 072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Rozchód wartości niematerialnych i prawnych, gdy określone prawa wygasły lub są gospodarczo przydatne</w:t>
            </w:r>
          </w:p>
        </w:tc>
      </w:tr>
      <w:tr w:rsidR="000D760F" w:rsidRPr="0077051B">
        <w:trPr>
          <w:trHeight w:val="312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Niedobór wartości niematerialnych i prawnych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020 powinna umożliwić należyte obliczanie umorzenia wartości niematerialnych i prawnych, podział według ich tytułów lub osób odpowiedzialnych.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020</w:t>
      </w:r>
      <w:r w:rsidRPr="0077051B">
        <w:rPr>
          <w:rFonts w:ascii="Arial" w:hAnsi="Arial" w:cs="Arial"/>
          <w:sz w:val="24"/>
          <w:szCs w:val="24"/>
        </w:rPr>
        <w:t xml:space="preserve"> może wykazywać </w:t>
      </w:r>
      <w:r w:rsidRPr="0077051B">
        <w:rPr>
          <w:rFonts w:ascii="Arial" w:hAnsi="Arial" w:cs="Arial"/>
          <w:b/>
          <w:sz w:val="24"/>
          <w:szCs w:val="24"/>
        </w:rPr>
        <w:t>saldo Wn</w:t>
      </w:r>
      <w:r w:rsidRPr="0077051B">
        <w:rPr>
          <w:rFonts w:ascii="Arial" w:hAnsi="Arial" w:cs="Arial"/>
          <w:sz w:val="24"/>
          <w:szCs w:val="24"/>
        </w:rPr>
        <w:t xml:space="preserve">, które oznacza stan wartości niematerialnych </w:t>
      </w:r>
      <w:r w:rsidRPr="0077051B">
        <w:rPr>
          <w:rFonts w:ascii="Arial" w:hAnsi="Arial" w:cs="Arial"/>
          <w:sz w:val="24"/>
          <w:szCs w:val="24"/>
        </w:rPr>
        <w:br/>
        <w:t xml:space="preserve">i prawnych w wartości początkowej.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071 „Umorzenie środków trwałych oraz wartości niematerialnych i prawnych”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071 </w:t>
      </w:r>
      <w:r w:rsidRPr="0077051B">
        <w:rPr>
          <w:rFonts w:ascii="Arial" w:hAnsi="Arial" w:cs="Arial"/>
          <w:sz w:val="24"/>
          <w:szCs w:val="24"/>
        </w:rPr>
        <w:t xml:space="preserve">służy do ewidencji zmniejszeń wartości początkowej środków trwałych oraz wartości niematerialnych i prawnych, które podlegają umorzeniu według stawek amortyzacyjnych </w:t>
      </w:r>
      <w:r w:rsidR="00491E2C" w:rsidRPr="0077051B">
        <w:rPr>
          <w:rFonts w:ascii="Arial" w:hAnsi="Arial" w:cs="Arial"/>
          <w:sz w:val="24"/>
          <w:szCs w:val="24"/>
        </w:rPr>
        <w:t>stosowanych przez jednostkę.</w:t>
      </w:r>
      <w:r w:rsidRPr="0077051B">
        <w:rPr>
          <w:rFonts w:ascii="Arial" w:hAnsi="Arial" w:cs="Arial"/>
          <w:sz w:val="24"/>
          <w:szCs w:val="24"/>
        </w:rPr>
        <w:t xml:space="preserve"> Odpisy umorzeniowe są dokonywane w kore</w:t>
      </w:r>
      <w:r w:rsidR="00782A00" w:rsidRPr="0077051B">
        <w:rPr>
          <w:rFonts w:ascii="Arial" w:hAnsi="Arial" w:cs="Arial"/>
          <w:sz w:val="24"/>
          <w:szCs w:val="24"/>
        </w:rPr>
        <w:t>spondencji z kontem 400</w:t>
      </w:r>
      <w:r w:rsidRPr="0077051B">
        <w:rPr>
          <w:rFonts w:ascii="Arial" w:hAnsi="Arial" w:cs="Arial"/>
          <w:sz w:val="24"/>
          <w:szCs w:val="24"/>
        </w:rPr>
        <w:t xml:space="preserve"> „Amortyzacja”.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>Na stronie</w:t>
      </w:r>
      <w:r w:rsidRPr="0077051B">
        <w:rPr>
          <w:rFonts w:ascii="Arial" w:hAnsi="Arial" w:cs="Arial"/>
          <w:b/>
          <w:sz w:val="24"/>
          <w:szCs w:val="24"/>
        </w:rPr>
        <w:t xml:space="preserve"> Ma konta 071</w:t>
      </w:r>
      <w:r w:rsidRPr="0077051B">
        <w:rPr>
          <w:rFonts w:ascii="Arial" w:hAnsi="Arial" w:cs="Arial"/>
          <w:sz w:val="24"/>
          <w:szCs w:val="24"/>
        </w:rPr>
        <w:t xml:space="preserve"> ujmuje się zwiększenia, a na stronie</w:t>
      </w:r>
      <w:r w:rsidRPr="0077051B">
        <w:rPr>
          <w:rFonts w:ascii="Arial" w:hAnsi="Arial" w:cs="Arial"/>
          <w:b/>
          <w:sz w:val="24"/>
          <w:szCs w:val="24"/>
        </w:rPr>
        <w:t xml:space="preserve"> Wn konta 071</w:t>
      </w:r>
      <w:r w:rsidRPr="0077051B">
        <w:rPr>
          <w:rFonts w:ascii="Arial" w:hAnsi="Arial" w:cs="Arial"/>
          <w:sz w:val="24"/>
          <w:szCs w:val="24"/>
        </w:rPr>
        <w:t xml:space="preserve"> zmniejszenia umorzenia wartości początkowej środków trwałyc</w:t>
      </w:r>
      <w:r w:rsidR="00D72610">
        <w:rPr>
          <w:rFonts w:ascii="Arial" w:hAnsi="Arial" w:cs="Arial"/>
          <w:sz w:val="24"/>
          <w:szCs w:val="24"/>
        </w:rPr>
        <w:t>h oraz wartości niematerialnych o wartości początkowej powyżej 10.000 złotych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071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0D760F" w:rsidRPr="0077051B">
        <w:trPr>
          <w:trHeight w:val="238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 xml:space="preserve">   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318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 071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011,020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Wyksięgowanie dotychczasowego umorzenia podstawowych środków trwałych oraz podstawowych wartości niematerialnych i prawnych wycofanych z eksploatacji  </w:t>
            </w:r>
          </w:p>
        </w:tc>
      </w:tr>
      <w:tr w:rsidR="000D760F" w:rsidRPr="0077051B">
        <w:trPr>
          <w:trHeight w:val="342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Urzędowe zmniejszenie wartości umorzenia na skutek zmniejszenia wartości środków trwałych w wyniku aktualizacji.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071 </w:t>
      </w:r>
      <w:r w:rsidRPr="0077051B">
        <w:rPr>
          <w:rFonts w:ascii="Arial" w:hAnsi="Arial" w:cs="Arial"/>
          <w:sz w:val="24"/>
          <w:szCs w:val="24"/>
        </w:rPr>
        <w:t>ujmuje się w szczególności ( w korespondencji z kontami 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380"/>
      </w:tblGrid>
      <w:tr w:rsidR="000D760F" w:rsidRPr="0077051B">
        <w:trPr>
          <w:trHeight w:val="34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52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Odpisy umorzeniowe podstawowych środków trwałych oraz podstawowych wartości niematerialnych i prawnych związanych z wykonywaną działalnością jednostki </w:t>
            </w:r>
          </w:p>
        </w:tc>
      </w:tr>
      <w:tr w:rsidR="000D760F" w:rsidRPr="0077051B">
        <w:trPr>
          <w:trHeight w:val="720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011, 020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Dotychczasowe umorzenie otrzymanych na podstawie decyzji organu od innej jednostki lub zakładu budżetowego środków trwałych oraz wartości niematerialnych i prawnych</w:t>
            </w:r>
          </w:p>
        </w:tc>
      </w:tr>
      <w:tr w:rsidR="000D760F" w:rsidRPr="0077051B">
        <w:trPr>
          <w:trHeight w:val="885"/>
        </w:trPr>
        <w:tc>
          <w:tcPr>
            <w:tcW w:w="90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73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Urzędowe zwiększenie umorzenia w związku z aktualizacją wartości początkowej podstawowych środków trwałych podlegających stopniowemu umarzaniu.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Ewidencję szczegółową do konta 071 prowadzi się według zasad podanych do kont 011 i 020. Do kont 011, 020 i 071 prowadzi się wspólną ewidencję szczegółową. Konto 071 może wykazywać saldo Ma, które wyraża stan umorzenia wartości podstawowych środków trwałych i wartości niematerialnych i prawnych.</w:t>
      </w:r>
    </w:p>
    <w:p w:rsidR="001A2471" w:rsidRDefault="001A2471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konta 071 koryguje wartość początkową środków trwałych ewidencjonowanych na koncie 011 i wartości niematerialnych i prawnych z konta 020</w:t>
      </w:r>
    </w:p>
    <w:p w:rsidR="00044B0F" w:rsidRPr="0077051B" w:rsidRDefault="00044B0F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2018 roku  </w:t>
      </w:r>
      <w:r w:rsidR="00F738A3">
        <w:rPr>
          <w:rFonts w:ascii="Arial" w:hAnsi="Arial" w:cs="Arial"/>
          <w:sz w:val="24"/>
          <w:szCs w:val="24"/>
        </w:rPr>
        <w:t>odpisów umorzeniowych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072 „Umorzenie pozostałych środków trwałych</w:t>
      </w:r>
      <w:r w:rsidR="0014076D">
        <w:rPr>
          <w:rFonts w:ascii="Arial" w:hAnsi="Arial" w:cs="Arial"/>
          <w:b/>
          <w:sz w:val="24"/>
          <w:szCs w:val="24"/>
        </w:rPr>
        <w:t xml:space="preserve"> oraz wartości niematerialnych </w:t>
      </w:r>
      <w:r w:rsidRPr="0077051B">
        <w:rPr>
          <w:rFonts w:ascii="Arial" w:hAnsi="Arial" w:cs="Arial"/>
          <w:b/>
          <w:sz w:val="24"/>
          <w:szCs w:val="24"/>
        </w:rPr>
        <w:t>i prawnych”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072 </w:t>
      </w:r>
      <w:r w:rsidRPr="0077051B">
        <w:rPr>
          <w:rFonts w:ascii="Arial" w:hAnsi="Arial" w:cs="Arial"/>
          <w:sz w:val="24"/>
          <w:szCs w:val="24"/>
        </w:rPr>
        <w:t>służy do ewidencji zmniejszeń wartości początkowej środków trwałych oraz wartości niematerialnych i prawnych</w:t>
      </w:r>
      <w:r w:rsidR="007624C3">
        <w:rPr>
          <w:rFonts w:ascii="Arial" w:hAnsi="Arial" w:cs="Arial"/>
          <w:sz w:val="24"/>
          <w:szCs w:val="24"/>
        </w:rPr>
        <w:t xml:space="preserve"> i księgozbioru</w:t>
      </w:r>
      <w:r w:rsidRPr="0077051B">
        <w:rPr>
          <w:rFonts w:ascii="Arial" w:hAnsi="Arial" w:cs="Arial"/>
          <w:sz w:val="24"/>
          <w:szCs w:val="24"/>
        </w:rPr>
        <w:t>, podlegających umorzeniu jednorazowo w pełnej wysokości,</w:t>
      </w:r>
      <w:r w:rsidR="00D72610">
        <w:rPr>
          <w:rFonts w:ascii="Arial" w:hAnsi="Arial" w:cs="Arial"/>
          <w:sz w:val="24"/>
          <w:szCs w:val="24"/>
        </w:rPr>
        <w:t>( tj o wartości początkowej do 10.000 złotych )</w:t>
      </w:r>
      <w:r w:rsidRPr="0077051B">
        <w:rPr>
          <w:rFonts w:ascii="Arial" w:hAnsi="Arial" w:cs="Arial"/>
          <w:sz w:val="24"/>
          <w:szCs w:val="24"/>
        </w:rPr>
        <w:t xml:space="preserve"> w miesiącu wydania ich do używania.</w:t>
      </w:r>
      <w:r w:rsidR="004703E8" w:rsidRPr="0077051B">
        <w:rPr>
          <w:rFonts w:ascii="Arial" w:hAnsi="Arial" w:cs="Arial"/>
          <w:sz w:val="24"/>
          <w:szCs w:val="24"/>
        </w:rPr>
        <w:t xml:space="preserve"> Zakup tych składników majątku finansuje się ze środków na wydatki bieżące.</w:t>
      </w:r>
      <w:r w:rsidRPr="0077051B">
        <w:rPr>
          <w:rFonts w:ascii="Arial" w:hAnsi="Arial" w:cs="Arial"/>
          <w:sz w:val="24"/>
          <w:szCs w:val="24"/>
        </w:rPr>
        <w:t xml:space="preserve"> Umorzenie księgowane jest w korespondencji z </w:t>
      </w:r>
      <w:r w:rsidR="00782A00" w:rsidRPr="0077051B">
        <w:rPr>
          <w:rFonts w:ascii="Arial" w:hAnsi="Arial" w:cs="Arial"/>
          <w:sz w:val="24"/>
          <w:szCs w:val="24"/>
        </w:rPr>
        <w:t>kontem 401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072 </w:t>
      </w:r>
      <w:r w:rsidRPr="0077051B">
        <w:rPr>
          <w:rFonts w:ascii="Arial" w:hAnsi="Arial" w:cs="Arial"/>
          <w:sz w:val="24"/>
          <w:szCs w:val="24"/>
        </w:rPr>
        <w:t xml:space="preserve">ujmuje się zwiększenia, a 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072 </w:t>
      </w:r>
      <w:r w:rsidRPr="0077051B">
        <w:rPr>
          <w:rFonts w:ascii="Arial" w:hAnsi="Arial" w:cs="Arial"/>
          <w:sz w:val="24"/>
          <w:szCs w:val="24"/>
        </w:rPr>
        <w:t>zmniejszenia umorzenia wartości początkowej pozostałych środków trwałych o</w:t>
      </w:r>
      <w:r w:rsidR="007624C3">
        <w:rPr>
          <w:rFonts w:ascii="Arial" w:hAnsi="Arial" w:cs="Arial"/>
          <w:sz w:val="24"/>
          <w:szCs w:val="24"/>
        </w:rPr>
        <w:t>raz niematerialnych i prawnych i  księgozbioru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072 </w:t>
      </w:r>
      <w:r w:rsidRPr="0077051B">
        <w:rPr>
          <w:rFonts w:ascii="Arial" w:hAnsi="Arial" w:cs="Arial"/>
          <w:sz w:val="24"/>
          <w:szCs w:val="24"/>
        </w:rPr>
        <w:t>ujmuje się w szczególności (w korespondencji z kontami):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7020"/>
      </w:tblGrid>
      <w:tr w:rsidR="000D760F" w:rsidRPr="0077051B">
        <w:trPr>
          <w:trHeight w:val="234"/>
        </w:trPr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1378"/>
        </w:trPr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013,</w:t>
            </w:r>
            <w:r w:rsidR="007624C3">
              <w:rPr>
                <w:rFonts w:ascii="Arial" w:hAnsi="Arial" w:cs="Arial"/>
                <w:sz w:val="24"/>
                <w:szCs w:val="24"/>
              </w:rPr>
              <w:t>014</w:t>
            </w:r>
            <w:r w:rsidRPr="0077051B">
              <w:rPr>
                <w:rFonts w:ascii="Arial" w:hAnsi="Arial" w:cs="Arial"/>
                <w:sz w:val="24"/>
                <w:szCs w:val="24"/>
              </w:rPr>
              <w:t>020, 240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Wyksięgowanie dotychczasowego umorzenia pozostałych środków trwałych oraz pozostałych wartości niematerialnych i prawnych rozchodowanych z tytułu likwidacji, sprzedaży, nieodpłatnego przekazania, niedoboru lub szkody, wyłączenia z ewidencji księgowej ilościowo-wartościowej. 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072 </w:t>
      </w:r>
      <w:r w:rsidRPr="0077051B">
        <w:rPr>
          <w:rFonts w:ascii="Arial" w:hAnsi="Arial" w:cs="Arial"/>
          <w:sz w:val="24"/>
          <w:szCs w:val="24"/>
        </w:rPr>
        <w:t>ujmuje się w szczególności (w korespondencji):</w:t>
      </w: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7020"/>
      </w:tblGrid>
      <w:tr w:rsidR="000D760F" w:rsidRPr="0077051B">
        <w:trPr>
          <w:trHeight w:val="345"/>
        </w:trPr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Wn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Rodzaj operacji</w:t>
            </w:r>
          </w:p>
        </w:tc>
      </w:tr>
      <w:tr w:rsidR="000D760F" w:rsidRPr="0077051B">
        <w:trPr>
          <w:trHeight w:val="705"/>
        </w:trPr>
        <w:tc>
          <w:tcPr>
            <w:tcW w:w="1080" w:type="dxa"/>
          </w:tcPr>
          <w:p w:rsidR="000D760F" w:rsidRPr="0077051B" w:rsidRDefault="00782A00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Odpisy umorzenia nowych, wydanych do używania pozostałych środków trwałych oraz pozostałych wartości niematerialnych i prawnych włączonych do ewidencji księgowej, sfinansowanych ze środków na wydatki bieżące lub otrzymanych nieodpłatnie </w:t>
            </w:r>
          </w:p>
        </w:tc>
      </w:tr>
      <w:tr w:rsidR="000D760F" w:rsidRPr="0077051B">
        <w:trPr>
          <w:trHeight w:val="720"/>
        </w:trPr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013,</w:t>
            </w:r>
            <w:r w:rsidR="007624C3">
              <w:rPr>
                <w:rFonts w:ascii="Arial" w:hAnsi="Arial" w:cs="Arial"/>
                <w:sz w:val="24"/>
                <w:szCs w:val="24"/>
              </w:rPr>
              <w:t>0,14,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020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Dotychczasowe umorzenie pozostałych środków trwałych oraz wartości niematerialnych i prawnych otrzymanych na podstawie decyzji administracyjnej od innej jednostki lub zakładu budżetowego  </w:t>
            </w:r>
          </w:p>
        </w:tc>
      </w:tr>
      <w:tr w:rsidR="000D760F" w:rsidRPr="0077051B">
        <w:trPr>
          <w:trHeight w:val="885"/>
        </w:trPr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7020" w:type="dxa"/>
          </w:tcPr>
          <w:p w:rsidR="000D760F" w:rsidRPr="0077051B" w:rsidRDefault="000D760F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Umorzenie pozostałych środków trwałych, otrzymanych jako pierwsze wyposażenie nowego obiektu sfinansowanych ze środków na inwestycje.</w:t>
            </w:r>
          </w:p>
        </w:tc>
      </w:tr>
    </w:tbl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4703E8" w:rsidRPr="0077051B" w:rsidRDefault="004703E8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konta 072 musi się ró</w:t>
      </w:r>
      <w:r w:rsidR="0014076D">
        <w:rPr>
          <w:rFonts w:ascii="Arial" w:hAnsi="Arial" w:cs="Arial"/>
          <w:sz w:val="24"/>
          <w:szCs w:val="24"/>
        </w:rPr>
        <w:t>w</w:t>
      </w:r>
      <w:r w:rsidRPr="0077051B">
        <w:rPr>
          <w:rFonts w:ascii="Arial" w:hAnsi="Arial" w:cs="Arial"/>
          <w:sz w:val="24"/>
          <w:szCs w:val="24"/>
        </w:rPr>
        <w:t>nać sumie salda konta 013.</w:t>
      </w:r>
    </w:p>
    <w:p w:rsidR="004703E8" w:rsidRPr="0077051B" w:rsidRDefault="004703E8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konta 072 koryguje wartość początkową środkó</w:t>
      </w:r>
      <w:r w:rsidR="0014076D">
        <w:rPr>
          <w:rFonts w:ascii="Arial" w:hAnsi="Arial" w:cs="Arial"/>
          <w:sz w:val="24"/>
          <w:szCs w:val="24"/>
        </w:rPr>
        <w:t xml:space="preserve">w </w:t>
      </w:r>
      <w:r w:rsidRPr="0077051B">
        <w:rPr>
          <w:rFonts w:ascii="Arial" w:hAnsi="Arial" w:cs="Arial"/>
          <w:sz w:val="24"/>
          <w:szCs w:val="24"/>
        </w:rPr>
        <w:t xml:space="preserve">ujętych na koncie 013, wobec tego wartość bilansowa tych składników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072 </w:t>
      </w:r>
      <w:r w:rsidRPr="0077051B">
        <w:rPr>
          <w:rFonts w:ascii="Arial" w:hAnsi="Arial" w:cs="Arial"/>
          <w:sz w:val="24"/>
          <w:szCs w:val="24"/>
        </w:rPr>
        <w:t>może wykazywać saldo Ma, które wyraża stan umorzenia wartości początkowej pozostałych środków trwałych oraz pozostałych wartości niematerialnych i prawnych umorzonych w pełnej wartości w miesiącu wydania ich do używania.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130 „Rachunek bieżący jednostki”</w:t>
      </w:r>
    </w:p>
    <w:p w:rsidR="000D760F" w:rsidRPr="0077051B" w:rsidRDefault="000D760F" w:rsidP="0064634B">
      <w:pPr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 systemie komputerowym zastosowano podział na: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130 Wydatki</w:t>
      </w:r>
    </w:p>
    <w:p w:rsidR="000D760F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130 Dochody</w:t>
      </w:r>
    </w:p>
    <w:p w:rsidR="0014076D" w:rsidRDefault="0014076D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 Dotacje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130 </w:t>
      </w:r>
      <w:r w:rsidRPr="0077051B">
        <w:rPr>
          <w:rFonts w:ascii="Arial" w:hAnsi="Arial" w:cs="Arial"/>
          <w:sz w:val="24"/>
          <w:szCs w:val="24"/>
        </w:rPr>
        <w:t>służy do ewidencji stanu środków budżetowych oraz obrotów na rachunku bankowym jednostki budżetowej z tytułu wydatków i dochodów (wpływów) budżetowych objętych planem finansowym.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Wn konta 130 </w:t>
      </w:r>
      <w:r w:rsidRPr="0077051B">
        <w:rPr>
          <w:rFonts w:ascii="Arial" w:hAnsi="Arial" w:cs="Arial"/>
          <w:sz w:val="24"/>
          <w:szCs w:val="24"/>
        </w:rPr>
        <w:t>ujmuje się wpływy środków budżetowych z tytułu:</w:t>
      </w:r>
    </w:p>
    <w:p w:rsidR="000D760F" w:rsidRPr="0077051B" w:rsidRDefault="000D760F" w:rsidP="0064634B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zrealizowanych przez jednostkę budżetową dochodów budżetowych – ewidencja szczegółowa prowadzona według podziałek klasyfikacji dochodów </w:t>
      </w:r>
      <w:r w:rsidRPr="0077051B">
        <w:rPr>
          <w:rFonts w:ascii="Arial" w:hAnsi="Arial" w:cs="Arial"/>
          <w:sz w:val="24"/>
          <w:szCs w:val="24"/>
        </w:rPr>
        <w:lastRenderedPageBreak/>
        <w:t xml:space="preserve">budżetowych – w </w:t>
      </w:r>
      <w:r w:rsidR="00103424">
        <w:rPr>
          <w:rFonts w:ascii="Arial" w:hAnsi="Arial" w:cs="Arial"/>
          <w:sz w:val="24"/>
          <w:szCs w:val="24"/>
        </w:rPr>
        <w:t xml:space="preserve">korespondencji z kontem </w:t>
      </w:r>
      <w:r w:rsidR="0023155B" w:rsidRPr="0077051B">
        <w:rPr>
          <w:rFonts w:ascii="Arial" w:hAnsi="Arial" w:cs="Arial"/>
          <w:sz w:val="24"/>
          <w:szCs w:val="24"/>
        </w:rPr>
        <w:t xml:space="preserve">, </w:t>
      </w:r>
      <w:r w:rsidRPr="0077051B">
        <w:rPr>
          <w:rFonts w:ascii="Arial" w:hAnsi="Arial" w:cs="Arial"/>
          <w:sz w:val="24"/>
          <w:szCs w:val="24"/>
        </w:rPr>
        <w:t>221 lub innym właściwym kontem,</w:t>
      </w:r>
    </w:p>
    <w:p w:rsidR="000D760F" w:rsidRPr="0077051B" w:rsidRDefault="000D760F" w:rsidP="0064634B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otrzymanych</w:t>
      </w:r>
      <w:r w:rsidR="00103424">
        <w:rPr>
          <w:rFonts w:ascii="Arial" w:hAnsi="Arial" w:cs="Arial"/>
          <w:sz w:val="24"/>
          <w:szCs w:val="24"/>
        </w:rPr>
        <w:t xml:space="preserve"> od dysponenta środków finansowych</w:t>
      </w:r>
      <w:r w:rsidRPr="0077051B">
        <w:rPr>
          <w:rFonts w:ascii="Arial" w:hAnsi="Arial" w:cs="Arial"/>
          <w:sz w:val="24"/>
          <w:szCs w:val="24"/>
        </w:rPr>
        <w:t xml:space="preserve"> na realizację wydatków budżetowych z</w:t>
      </w:r>
      <w:r w:rsidR="00DA4B9B" w:rsidRPr="0077051B">
        <w:rPr>
          <w:rFonts w:ascii="Arial" w:hAnsi="Arial" w:cs="Arial"/>
          <w:sz w:val="24"/>
          <w:szCs w:val="24"/>
        </w:rPr>
        <w:t xml:space="preserve">godnie z planem finansowym </w:t>
      </w:r>
      <w:r w:rsidRPr="0077051B">
        <w:rPr>
          <w:rFonts w:ascii="Arial" w:hAnsi="Arial" w:cs="Arial"/>
          <w:sz w:val="24"/>
          <w:szCs w:val="24"/>
        </w:rPr>
        <w:t>, w korespondencji z kontem 223.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 xml:space="preserve">Ma konta 130 </w:t>
      </w:r>
      <w:r w:rsidRPr="0077051B">
        <w:rPr>
          <w:rFonts w:ascii="Arial" w:hAnsi="Arial" w:cs="Arial"/>
          <w:sz w:val="24"/>
          <w:szCs w:val="24"/>
        </w:rPr>
        <w:t>ujmuje się :</w:t>
      </w:r>
    </w:p>
    <w:p w:rsidR="000D760F" w:rsidRPr="0077051B" w:rsidRDefault="000D760F" w:rsidP="0064634B">
      <w:pPr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zrealizowane wydatki budżetowe zgodnie z planem</w:t>
      </w:r>
      <w:r w:rsidR="00DA4B9B" w:rsidRPr="0077051B">
        <w:rPr>
          <w:rFonts w:ascii="Arial" w:hAnsi="Arial" w:cs="Arial"/>
          <w:sz w:val="24"/>
          <w:szCs w:val="24"/>
        </w:rPr>
        <w:t xml:space="preserve"> finansowym </w:t>
      </w:r>
      <w:r w:rsidRPr="0077051B">
        <w:rPr>
          <w:rFonts w:ascii="Arial" w:hAnsi="Arial" w:cs="Arial"/>
          <w:sz w:val="24"/>
          <w:szCs w:val="24"/>
        </w:rPr>
        <w:t xml:space="preserve"> – ewidencja szczegółowa prowadzona według podziałek klasyfikacji wydatków budżetowych – w korespondencj</w:t>
      </w:r>
      <w:r w:rsidR="00103424">
        <w:rPr>
          <w:rFonts w:ascii="Arial" w:hAnsi="Arial" w:cs="Arial"/>
          <w:sz w:val="24"/>
          <w:szCs w:val="24"/>
        </w:rPr>
        <w:t xml:space="preserve">i z właściwymi kontami zespołu </w:t>
      </w:r>
      <w:r w:rsidRPr="0077051B">
        <w:rPr>
          <w:rFonts w:ascii="Arial" w:hAnsi="Arial" w:cs="Arial"/>
          <w:sz w:val="24"/>
          <w:szCs w:val="24"/>
        </w:rPr>
        <w:t xml:space="preserve"> 2 3 4 7 lub 8,</w:t>
      </w:r>
    </w:p>
    <w:p w:rsidR="000D760F" w:rsidRPr="0077051B" w:rsidRDefault="000D760F" w:rsidP="0064634B">
      <w:pPr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okresowe przelewy dochodów budżetowych do budżetu, w korespondencji z kontem 222,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Zapisy na </w:t>
      </w:r>
      <w:r w:rsidRPr="0077051B">
        <w:rPr>
          <w:rFonts w:ascii="Arial" w:hAnsi="Arial" w:cs="Arial"/>
          <w:b/>
          <w:sz w:val="24"/>
          <w:szCs w:val="24"/>
        </w:rPr>
        <w:t>koncie 130</w:t>
      </w:r>
      <w:r w:rsidRPr="0077051B">
        <w:rPr>
          <w:rFonts w:ascii="Arial" w:hAnsi="Arial" w:cs="Arial"/>
          <w:sz w:val="24"/>
          <w:szCs w:val="24"/>
        </w:rPr>
        <w:t xml:space="preserve"> są dokonyw</w:t>
      </w:r>
      <w:r w:rsidR="0014076D">
        <w:rPr>
          <w:rFonts w:ascii="Arial" w:hAnsi="Arial" w:cs="Arial"/>
          <w:sz w:val="24"/>
          <w:szCs w:val="24"/>
        </w:rPr>
        <w:t>ane na podstawie dokumentów bankowych -  historii  operacji bankowych z uwagi na fakt ,że wyciągi bankowe w DDSW dostępne są po upływie miesiąca</w:t>
      </w:r>
      <w:r w:rsidRPr="0077051B">
        <w:rPr>
          <w:rFonts w:ascii="Arial" w:hAnsi="Arial" w:cs="Arial"/>
          <w:sz w:val="24"/>
          <w:szCs w:val="24"/>
        </w:rPr>
        <w:t xml:space="preserve">, w </w:t>
      </w:r>
      <w:r w:rsidR="0014076D">
        <w:rPr>
          <w:rFonts w:ascii="Arial" w:hAnsi="Arial" w:cs="Arial"/>
          <w:sz w:val="24"/>
          <w:szCs w:val="24"/>
        </w:rPr>
        <w:t>Saldo konta 130 musi równać się z saldem na historii operacji bankowych ( Wyciągiem bankowym )</w:t>
      </w:r>
      <w:r w:rsidRPr="0077051B">
        <w:rPr>
          <w:rFonts w:ascii="Arial" w:hAnsi="Arial" w:cs="Arial"/>
          <w:sz w:val="24"/>
          <w:szCs w:val="24"/>
        </w:rPr>
        <w:t>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</w:t>
      </w:r>
      <w:r w:rsidRPr="0077051B">
        <w:rPr>
          <w:rFonts w:ascii="Arial" w:hAnsi="Arial" w:cs="Arial"/>
          <w:b/>
          <w:sz w:val="24"/>
          <w:szCs w:val="24"/>
        </w:rPr>
        <w:t>koncie 130</w:t>
      </w:r>
      <w:r w:rsidRPr="0077051B">
        <w:rPr>
          <w:rFonts w:ascii="Arial" w:hAnsi="Arial" w:cs="Arial"/>
          <w:sz w:val="24"/>
          <w:szCs w:val="24"/>
        </w:rPr>
        <w:t xml:space="preserve"> obowiązuje zachowanie zasady czystości obrotów, co oznacza, że do błędnych zapisów, zwrotów nadpłat, korekt, wprowadza się dodatkowy techniczny zap</w:t>
      </w:r>
      <w:r w:rsidR="0014076D">
        <w:rPr>
          <w:rFonts w:ascii="Arial" w:hAnsi="Arial" w:cs="Arial"/>
          <w:sz w:val="24"/>
          <w:szCs w:val="24"/>
        </w:rPr>
        <w:t>is ujemny po obu stronach konta 130.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135 „Rachunki środków funduszy specjalnego przeznaczenia”</w:t>
      </w:r>
    </w:p>
    <w:p w:rsidR="00CF5214" w:rsidRPr="0077051B" w:rsidRDefault="00CF521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135 służy do ewidencji środków pieniężnych funduszy specjalnego przeznaczenia, a w szczególności zakładowego funduszu świadczeń socjalnych i innych funduszy, którymi dysponuje jednostka.</w:t>
      </w:r>
    </w:p>
    <w:p w:rsidR="00CF5214" w:rsidRPr="0077051B" w:rsidRDefault="00CF521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Na stronie Wn konta 135 ujmuje się </w:t>
      </w:r>
      <w:r w:rsidRPr="0077051B">
        <w:rPr>
          <w:rStyle w:val="FontStyle337"/>
          <w:rFonts w:ascii="Arial" w:hAnsi="Arial" w:cs="Arial"/>
          <w:color w:val="auto"/>
          <w:sz w:val="24"/>
          <w:szCs w:val="24"/>
        </w:rPr>
        <w:t xml:space="preserve">wpływy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środków na rachunki bankowe, a na stronie Ma - wypłaty środków z rachunków bankowych.</w:t>
      </w:r>
    </w:p>
    <w:p w:rsidR="00CF5214" w:rsidRPr="0077051B" w:rsidRDefault="00CF521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Ewidencja szczegółowa do konta 135 powinna umożliwić ustalenie stanu środków każdego funduszu.</w:t>
      </w:r>
    </w:p>
    <w:p w:rsidR="00CF5214" w:rsidRPr="0077051B" w:rsidRDefault="00CF521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FF0000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135 może wykazywać saldo Wn, które oznacza stan środków pieniężnych na rachunkach bankowych funduszy</w:t>
      </w:r>
      <w:r w:rsidRPr="0077051B">
        <w:rPr>
          <w:rStyle w:val="FontStyle338"/>
          <w:rFonts w:ascii="Arial" w:hAnsi="Arial" w:cs="Arial"/>
          <w:color w:val="FF0000"/>
          <w:sz w:val="24"/>
          <w:szCs w:val="24"/>
        </w:rPr>
        <w:t>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2 „Rozrachunki i roszczenia”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72318" w:rsidRPr="0077051B" w:rsidRDefault="00372318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Konta zespołu 2 „Rozrachunki i rozliczenia"</w:t>
      </w:r>
      <w:r w:rsidR="009E0496"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 służą do ewidencji krajowych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rozrachunków oraz rozliczeń.</w:t>
      </w:r>
    </w:p>
    <w:p w:rsidR="00372318" w:rsidRPr="0077051B" w:rsidRDefault="00372318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Konta zespołu 2 służą także do ewidencji rozliczeń środków budżetowych, wynagrodzeń, rozliczeń niedoborów, szkód i nadwyżek oraz wszelkich innych rozliczeń związanych z rozrachunkami i roszczeniami spornymi.</w:t>
      </w:r>
    </w:p>
    <w:p w:rsidR="00372318" w:rsidRPr="0077051B" w:rsidRDefault="00372318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FF0000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Rozrachunki to należności i zobowiązania bezsporne, których tytuły i kwoty uznają zarówno wierzyciele jak i dłużnicy</w:t>
      </w:r>
      <w:r w:rsidRPr="0077051B">
        <w:rPr>
          <w:rStyle w:val="FontStyle338"/>
          <w:rFonts w:ascii="Arial" w:hAnsi="Arial" w:cs="Arial"/>
          <w:color w:val="FF0000"/>
          <w:sz w:val="24"/>
          <w:szCs w:val="24"/>
        </w:rPr>
        <w:t>.</w:t>
      </w:r>
    </w:p>
    <w:p w:rsidR="00372318" w:rsidRPr="0077051B" w:rsidRDefault="00372318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Roszczenia to należności kwestionowane przez kontrahentów, które w przypadku dochodzenia ich drogą sądową stają się roszczeniami spornymi w dniu wniesienia pozwu do sądu.</w:t>
      </w:r>
    </w:p>
    <w:p w:rsidR="00372318" w:rsidRPr="0077051B" w:rsidRDefault="00372318" w:rsidP="0064634B">
      <w:pPr>
        <w:pStyle w:val="Style11"/>
        <w:widowControl/>
        <w:spacing w:line="276" w:lineRule="auto"/>
        <w:ind w:right="58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lastRenderedPageBreak/>
        <w:t>Rozrachunki i roszczenia ujmuje się w ewidencji księgowej od dnia ich powstania do dnia ich wygaśnięcia na skutek spłacenia, oddalenia w postępowaniu spornym lub egzekucyjnym, umorzenia lub odpisania na skutek przedawnienia albo odpisania jako nieistotnych należności.</w:t>
      </w:r>
    </w:p>
    <w:p w:rsidR="00372318" w:rsidRPr="0077051B" w:rsidRDefault="00372318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Ewidencja szczegółowa prowadzona do kont zespołu </w:t>
      </w:r>
      <w:r w:rsidRPr="0077051B">
        <w:rPr>
          <w:rStyle w:val="FontStyle337"/>
          <w:rFonts w:ascii="Arial" w:hAnsi="Arial" w:cs="Arial"/>
          <w:color w:val="auto"/>
          <w:sz w:val="24"/>
          <w:szCs w:val="24"/>
        </w:rPr>
        <w:t xml:space="preserve">2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powinna umożliwić wyodrębnienie p</w:t>
      </w:r>
      <w:r w:rsidR="009E0496" w:rsidRPr="0077051B">
        <w:rPr>
          <w:rStyle w:val="FontStyle338"/>
          <w:rFonts w:ascii="Arial" w:hAnsi="Arial" w:cs="Arial"/>
          <w:color w:val="auto"/>
          <w:sz w:val="24"/>
          <w:szCs w:val="24"/>
        </w:rPr>
        <w:t>oszczególnych grup rozrachunków-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 rozliczeń i roszczeń spornych, ustalenie przebiegu ich rozliczeń oraz stanu należności, rozliczeń, roszczeń spornych i zobowiązań </w:t>
      </w:r>
      <w:r w:rsidR="009E0496"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z podziałem według kontrahentów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Wynikające z ewidencji stany na kontach rozrachunkowych powinny być poddawane okresowej weryfikacji w celu ujawnienia i wyksięgowania należności i roszczeń oraz zobowiązań przedawnionych lub nieściągalnych - nierealne aktywa lub pasywa nie mogą być wykazane w bilansie.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201 „Rozrachunki z odbiorcami i dostawcami”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201 </w:t>
      </w:r>
      <w:r w:rsidRPr="0077051B">
        <w:rPr>
          <w:rFonts w:ascii="Arial" w:hAnsi="Arial" w:cs="Arial"/>
          <w:sz w:val="24"/>
          <w:szCs w:val="24"/>
        </w:rPr>
        <w:t>służy do ewidencji rozrachunków i roszczeń krajowych i zagr</w:t>
      </w:r>
      <w:r w:rsidR="00DA4B9B" w:rsidRPr="0077051B">
        <w:rPr>
          <w:rFonts w:ascii="Arial" w:hAnsi="Arial" w:cs="Arial"/>
          <w:sz w:val="24"/>
          <w:szCs w:val="24"/>
        </w:rPr>
        <w:t>anicznych z tytułu zakupów i usług,</w:t>
      </w:r>
      <w:r w:rsidR="000A5E75" w:rsidRPr="0077051B">
        <w:rPr>
          <w:rFonts w:ascii="Arial" w:hAnsi="Arial" w:cs="Arial"/>
          <w:sz w:val="24"/>
          <w:szCs w:val="24"/>
        </w:rPr>
        <w:t xml:space="preserve"> w tym również zaliczek na poczet dostaw, robót i usług a także należności z tytułu przychodów finansowych.</w:t>
      </w:r>
      <w:r w:rsidR="00DA4B9B" w:rsidRPr="0077051B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 xml:space="preserve"> Na koncie 201 nie ujmuje się należności jednostek budżetowych zaliczanych do dochodów budżetowych, które ujmowane są na koncie 221.</w:t>
      </w:r>
    </w:p>
    <w:p w:rsidR="000A5E75" w:rsidRPr="0077051B" w:rsidRDefault="000A5E75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Na stronie Wn konta 201 ujmuje się </w:t>
      </w:r>
      <w:r w:rsidR="00255A3C">
        <w:rPr>
          <w:rStyle w:val="FontStyle338"/>
          <w:rFonts w:ascii="Arial" w:hAnsi="Arial" w:cs="Arial"/>
          <w:color w:val="auto"/>
          <w:sz w:val="24"/>
          <w:szCs w:val="24"/>
        </w:rPr>
        <w:t xml:space="preserve"> powstałe należności i roszczenia oraz spłatę i zmniejszenie zobowiązań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szczególności:</w:t>
      </w:r>
    </w:p>
    <w:p w:rsidR="000A5E75" w:rsidRPr="0077051B" w:rsidRDefault="000A5E75" w:rsidP="0064634B">
      <w:pPr>
        <w:pStyle w:val="Style64"/>
        <w:widowControl/>
        <w:numPr>
          <w:ilvl w:val="0"/>
          <w:numId w:val="28"/>
        </w:numPr>
        <w:spacing w:line="276" w:lineRule="auto"/>
        <w:ind w:firstLine="0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spłaty zobowiązań wobec dostawców,</w:t>
      </w:r>
    </w:p>
    <w:p w:rsidR="000A5E75" w:rsidRPr="0077051B" w:rsidRDefault="000A5E75" w:rsidP="0064634B">
      <w:pPr>
        <w:pStyle w:val="Style64"/>
        <w:widowControl/>
        <w:numPr>
          <w:ilvl w:val="0"/>
          <w:numId w:val="28"/>
        </w:numPr>
        <w:spacing w:line="276" w:lineRule="auto"/>
        <w:ind w:left="284" w:hanging="284"/>
        <w:jc w:val="left"/>
        <w:rPr>
          <w:rStyle w:val="FontStyle337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zwroty dostaw w związku z uznanymi przez dostawców reklamacjami (na podstawie faktur korygujących),</w:t>
      </w:r>
    </w:p>
    <w:p w:rsidR="000A5E75" w:rsidRPr="0077051B" w:rsidRDefault="000A5E75" w:rsidP="0064634B">
      <w:pPr>
        <w:pStyle w:val="Style64"/>
        <w:widowControl/>
        <w:numPr>
          <w:ilvl w:val="0"/>
          <w:numId w:val="28"/>
        </w:numPr>
        <w:spacing w:line="276" w:lineRule="auto"/>
        <w:ind w:left="284" w:hanging="284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zmniejszenia zobowiązania wobec dostawców na podstawie otrzymanych faktur korygujących,</w:t>
      </w:r>
    </w:p>
    <w:p w:rsidR="000A5E75" w:rsidRPr="0077051B" w:rsidRDefault="000A5E75" w:rsidP="0064634B">
      <w:pPr>
        <w:pStyle w:val="Style64"/>
        <w:widowControl/>
        <w:numPr>
          <w:ilvl w:val="0"/>
          <w:numId w:val="28"/>
        </w:numPr>
        <w:spacing w:line="276" w:lineRule="auto"/>
        <w:ind w:firstLine="0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odpisy przedawnionych zobowiązań.</w:t>
      </w:r>
    </w:p>
    <w:p w:rsidR="000A5E75" w:rsidRPr="0077051B" w:rsidRDefault="000A5E75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Ma konta 201 ujmuje się</w:t>
      </w:r>
      <w:r w:rsidR="00255A3C">
        <w:rPr>
          <w:rStyle w:val="FontStyle338"/>
          <w:rFonts w:ascii="Arial" w:hAnsi="Arial" w:cs="Arial"/>
          <w:color w:val="auto"/>
          <w:sz w:val="24"/>
          <w:szCs w:val="24"/>
        </w:rPr>
        <w:t xml:space="preserve">  powstałe zobowiązania oraz spłatę i zmniejszenie należności i roszczeń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 w szczególności:</w:t>
      </w:r>
    </w:p>
    <w:p w:rsidR="000A5E75" w:rsidRPr="0077051B" w:rsidRDefault="000A5E75" w:rsidP="0064634B">
      <w:pPr>
        <w:pStyle w:val="Style11"/>
        <w:widowControl/>
        <w:numPr>
          <w:ilvl w:val="0"/>
          <w:numId w:val="29"/>
        </w:numPr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zobowiązania za dostawy i usługi wynikające z faktur lub rachunków,</w:t>
      </w:r>
    </w:p>
    <w:p w:rsidR="000A5E75" w:rsidRPr="0077051B" w:rsidRDefault="000A5E75" w:rsidP="0064634B">
      <w:pPr>
        <w:pStyle w:val="Style64"/>
        <w:widowControl/>
        <w:numPr>
          <w:ilvl w:val="0"/>
          <w:numId w:val="29"/>
        </w:numPr>
        <w:tabs>
          <w:tab w:val="left" w:pos="709"/>
        </w:tabs>
        <w:spacing w:line="276" w:lineRule="auto"/>
        <w:ind w:left="426" w:hanging="42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naliczone odsetki umowne za nieterminową zapłatę zobowiązań oraz kary umowne lub odszkodowania należne dostawcy.</w:t>
      </w:r>
    </w:p>
    <w:p w:rsidR="000A5E75" w:rsidRPr="0077051B" w:rsidRDefault="000A5E75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bilansie wykazuje się należności skorygowane o odpisy aktualizujące wynikające z konta 290, które dokonuje się zgodnie z ustaleniami podanymi w art. 35 b ustawy o rachunkowości.</w:t>
      </w:r>
    </w:p>
    <w:p w:rsidR="000A5E75" w:rsidRPr="0077051B" w:rsidRDefault="000A5E75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Ewidencja szczegółowa do konta 201 może być prowadzona według podziałek klasyfikacji budżetowej oraz powinna zapewnić możliwość ustalenia należności i zobowiązań krajowych i zagranicznych według poszczególnych kontrahentów.</w:t>
      </w:r>
    </w:p>
    <w:p w:rsidR="000A5E75" w:rsidRPr="0077051B" w:rsidRDefault="000A5E75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201 może mieć dwa salda. Saldo Wn oznacza stan należności i roszczeń, a saldo Ma - stan zobowiązań.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221 „Należności z tytułu dochodów budżetowych”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lastRenderedPageBreak/>
        <w:t xml:space="preserve">Konto 221 </w:t>
      </w:r>
      <w:r w:rsidRPr="0077051B">
        <w:rPr>
          <w:rFonts w:ascii="Arial" w:hAnsi="Arial" w:cs="Arial"/>
          <w:sz w:val="24"/>
          <w:szCs w:val="24"/>
        </w:rPr>
        <w:t>służy do ewidencji należności jednostek budżetowych z tytułu dochodów budżetowych, w których termin płatności przypada na dany rok budżetowy. Na stronie Wn konta 221 ujmuje się ustalone na dany rok budżetowy należności z tytułu dochodów budżetowych i zwroty nadpłat.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konta 221 ujmuje się wpłaty należności z tytułu dochodów budżetowych oraz odpisy (zmniejszenia) należności.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do konta 221 prowadzona jest według dłużników i podzi</w:t>
      </w:r>
      <w:r w:rsidR="00AE7488" w:rsidRPr="0077051B">
        <w:rPr>
          <w:rFonts w:ascii="Arial" w:hAnsi="Arial" w:cs="Arial"/>
          <w:sz w:val="24"/>
          <w:szCs w:val="24"/>
        </w:rPr>
        <w:t xml:space="preserve">ałek klasyfikacji budżetowej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221 może wykazywać dwa salda. Saldo Wn oznacza stan należności z tytułu dochodów budżetowych, a saldo Ma – stan zobowiązań jednostki budżetowej z tytułu nadpłat w tych dochodach.</w:t>
      </w:r>
    </w:p>
    <w:p w:rsidR="00694BB9" w:rsidRPr="0077051B" w:rsidRDefault="00694BB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koncie tym księgowane są również należności dotyczące dochodów budże</w:t>
      </w:r>
      <w:r w:rsidR="00A24339" w:rsidRPr="0077051B">
        <w:rPr>
          <w:rFonts w:ascii="Arial" w:hAnsi="Arial" w:cs="Arial"/>
          <w:sz w:val="24"/>
          <w:szCs w:val="24"/>
        </w:rPr>
        <w:t>towych zrealizowanych przez DDSW</w:t>
      </w:r>
      <w:r w:rsidRPr="0077051B">
        <w:rPr>
          <w:rFonts w:ascii="Arial" w:hAnsi="Arial" w:cs="Arial"/>
          <w:sz w:val="24"/>
          <w:szCs w:val="24"/>
        </w:rPr>
        <w:t xml:space="preserve"> z tytułu zadań związanych z realizacją zadań z zakresu administracji rządowej oraz innych zadań zleconych ustawami w części należnej budżetowi państwa.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222 „Rozliczenie dochodów budżetowych”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222 </w:t>
      </w:r>
      <w:r w:rsidRPr="0077051B">
        <w:rPr>
          <w:rFonts w:ascii="Arial" w:hAnsi="Arial" w:cs="Arial"/>
          <w:sz w:val="24"/>
          <w:szCs w:val="24"/>
        </w:rPr>
        <w:t>służy do ewidencji rozliczenia zrealizowanych przez jednostkę budżetową dochodów budżetowych.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222</w:t>
      </w:r>
      <w:r w:rsidRPr="0077051B">
        <w:rPr>
          <w:rFonts w:ascii="Arial" w:hAnsi="Arial" w:cs="Arial"/>
          <w:sz w:val="24"/>
          <w:szCs w:val="24"/>
        </w:rPr>
        <w:t xml:space="preserve"> ewidencjonuje się w korespondencji z kontem 130 przelewy zrealizowanych przez jednostkę dochodów budżetowych, które przekazuje się okresowo na rachu</w:t>
      </w:r>
      <w:r w:rsidR="00AE7488" w:rsidRPr="0077051B">
        <w:rPr>
          <w:rFonts w:ascii="Arial" w:hAnsi="Arial" w:cs="Arial"/>
          <w:sz w:val="24"/>
          <w:szCs w:val="24"/>
        </w:rPr>
        <w:t>nek bieżący  Urzędu Miejskiego w Sławkowie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222</w:t>
      </w:r>
      <w:r w:rsidRPr="0077051B">
        <w:rPr>
          <w:rFonts w:ascii="Arial" w:hAnsi="Arial" w:cs="Arial"/>
          <w:sz w:val="24"/>
          <w:szCs w:val="24"/>
        </w:rPr>
        <w:t xml:space="preserve"> ujmuje się okresowe lub roczne  przeniesienia zrealizowanych dochodów budżetowych na konto 800 – na podstawie spr</w:t>
      </w:r>
      <w:r w:rsidR="00AE7488" w:rsidRPr="0077051B">
        <w:rPr>
          <w:rFonts w:ascii="Arial" w:hAnsi="Arial" w:cs="Arial"/>
          <w:sz w:val="24"/>
          <w:szCs w:val="24"/>
        </w:rPr>
        <w:t>awozdań budżetowych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Konto może wykazywać saldo Ma, które oznacza stan zrealizowanych dochodów budżetowych, ale nieprzel</w:t>
      </w:r>
      <w:r w:rsidR="00AE7488" w:rsidRPr="0077051B">
        <w:rPr>
          <w:rFonts w:ascii="Arial" w:hAnsi="Arial" w:cs="Arial"/>
          <w:sz w:val="24"/>
          <w:szCs w:val="24"/>
        </w:rPr>
        <w:t>anych  na rachunek bankowy  samorządu terytorialnego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223 „Rozliczenie wydatków budżetowych”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223 </w:t>
      </w:r>
      <w:r w:rsidR="00AE7488" w:rsidRPr="0077051B">
        <w:rPr>
          <w:rFonts w:ascii="Arial" w:hAnsi="Arial" w:cs="Arial"/>
          <w:sz w:val="24"/>
          <w:szCs w:val="24"/>
        </w:rPr>
        <w:t xml:space="preserve">służy </w:t>
      </w:r>
      <w:r w:rsidR="00E602C0" w:rsidRPr="0077051B">
        <w:rPr>
          <w:rFonts w:ascii="Arial" w:hAnsi="Arial" w:cs="Arial"/>
          <w:sz w:val="24"/>
          <w:szCs w:val="24"/>
        </w:rPr>
        <w:t>do ewidencji rozliczenia zrealizowanych przez jednostkę wydatków budżetowych, w tym wydatków w ramach współfinansowania programów i projektów reali</w:t>
      </w:r>
      <w:r w:rsidR="007624C3">
        <w:rPr>
          <w:rFonts w:ascii="Arial" w:hAnsi="Arial" w:cs="Arial"/>
          <w:sz w:val="24"/>
          <w:szCs w:val="24"/>
        </w:rPr>
        <w:t>zowanych  z dotacji rządowej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223</w:t>
      </w:r>
      <w:r w:rsidRPr="0077051B">
        <w:rPr>
          <w:rFonts w:ascii="Arial" w:hAnsi="Arial" w:cs="Arial"/>
          <w:sz w:val="24"/>
          <w:szCs w:val="24"/>
        </w:rPr>
        <w:t xml:space="preserve"> ujmuje się:</w:t>
      </w:r>
    </w:p>
    <w:p w:rsidR="00E602C0" w:rsidRPr="0077051B" w:rsidRDefault="00E602C0" w:rsidP="0064634B">
      <w:pPr>
        <w:pStyle w:val="Style11"/>
        <w:widowControl/>
        <w:numPr>
          <w:ilvl w:val="0"/>
          <w:numId w:val="7"/>
        </w:numPr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ciągu roku budżetowego okresowe lub roczne przeniesienia, na podstawie sprawozdań budżetowych, zrealizowanych wydatków budżetowych  na konto 800.</w:t>
      </w:r>
    </w:p>
    <w:p w:rsidR="000D760F" w:rsidRPr="0077051B" w:rsidRDefault="00AE7488" w:rsidP="0064634B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zwroty na rachunek bankowy dysponenta wyższego stopnia  lub na rachunek budżetu samorządu terytorialnego niewykorzystanych do końca roku </w:t>
      </w:r>
      <w:r w:rsidR="00E602C0" w:rsidRPr="0077051B">
        <w:rPr>
          <w:rFonts w:ascii="Arial" w:hAnsi="Arial" w:cs="Arial"/>
          <w:sz w:val="24"/>
          <w:szCs w:val="24"/>
        </w:rPr>
        <w:t>środków</w:t>
      </w:r>
      <w:r w:rsidRPr="0077051B">
        <w:rPr>
          <w:rFonts w:ascii="Arial" w:hAnsi="Arial" w:cs="Arial"/>
          <w:sz w:val="24"/>
          <w:szCs w:val="24"/>
        </w:rPr>
        <w:t xml:space="preserve"> otrzymanych na wydatki budżetowe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223</w:t>
      </w:r>
      <w:r w:rsidRPr="0077051B">
        <w:rPr>
          <w:rFonts w:ascii="Arial" w:hAnsi="Arial" w:cs="Arial"/>
          <w:sz w:val="24"/>
          <w:szCs w:val="24"/>
        </w:rPr>
        <w:t xml:space="preserve"> ujmuje się </w:t>
      </w:r>
      <w:r w:rsidR="000A5E75"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okresowe wpływy środków pieniężnych otrzymanych na pokrycie wydatków budżetowych, w tym wydatków państwa w </w:t>
      </w:r>
      <w:r w:rsidR="000A5E75" w:rsidRPr="0077051B">
        <w:rPr>
          <w:rStyle w:val="FontStyle338"/>
          <w:rFonts w:ascii="Arial" w:hAnsi="Arial" w:cs="Arial"/>
          <w:color w:val="auto"/>
          <w:sz w:val="24"/>
          <w:szCs w:val="24"/>
        </w:rPr>
        <w:lastRenderedPageBreak/>
        <w:t>ramach współfinansowania programów i projektów reali</w:t>
      </w:r>
      <w:r w:rsidR="007624C3">
        <w:rPr>
          <w:rStyle w:val="FontStyle338"/>
          <w:rFonts w:ascii="Arial" w:hAnsi="Arial" w:cs="Arial"/>
          <w:color w:val="auto"/>
          <w:sz w:val="24"/>
          <w:szCs w:val="24"/>
        </w:rPr>
        <w:t>zowanych ze środków rządowych</w:t>
      </w:r>
      <w:r w:rsidR="000A5E75" w:rsidRPr="0077051B">
        <w:rPr>
          <w:rStyle w:val="FontStyle338"/>
          <w:rFonts w:ascii="Arial" w:hAnsi="Arial" w:cs="Arial"/>
          <w:color w:val="auto"/>
          <w:sz w:val="24"/>
          <w:szCs w:val="24"/>
        </w:rPr>
        <w:t>, w korespondencji z kontem 130.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może wykazywać saldo Ma, które oznacza stan środków budżetowych otrzymanych na pokrycie wydatków budżetowych, lecz niewykorzystanych do końca roku.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konta 223 ulega likwidacji poprzez księgowanie przelewu na rachunek dysponenta wyższego stopnia środków budżetowych niewykorzystanych do końca roku, w korespondencji z kontem 130.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225 „Rozrachunki z budżetami”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225</w:t>
      </w:r>
      <w:r w:rsidRPr="0077051B">
        <w:rPr>
          <w:rFonts w:ascii="Arial" w:hAnsi="Arial" w:cs="Arial"/>
          <w:sz w:val="24"/>
          <w:szCs w:val="24"/>
        </w:rPr>
        <w:t xml:space="preserve"> służy do ewidencji rozrachunków z budżetami w szczególności z tytułu podatków</w:t>
      </w:r>
      <w:r w:rsidR="00E602C0" w:rsidRPr="0077051B">
        <w:rPr>
          <w:rFonts w:ascii="Arial" w:hAnsi="Arial" w:cs="Arial"/>
          <w:sz w:val="24"/>
          <w:szCs w:val="24"/>
        </w:rPr>
        <w:t>, nadpłat w rozliczeniach z budżetami</w:t>
      </w:r>
      <w:r w:rsidRPr="0077051B">
        <w:rPr>
          <w:rFonts w:ascii="Arial" w:hAnsi="Arial" w:cs="Arial"/>
          <w:sz w:val="24"/>
          <w:szCs w:val="24"/>
        </w:rPr>
        <w:t xml:space="preserve">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225</w:t>
      </w:r>
      <w:r w:rsidRPr="0077051B">
        <w:rPr>
          <w:rFonts w:ascii="Arial" w:hAnsi="Arial" w:cs="Arial"/>
          <w:sz w:val="24"/>
          <w:szCs w:val="24"/>
        </w:rPr>
        <w:t xml:space="preserve"> ujmuje się nadpłaty oraz wpłaty do budżetu, a na stronie </w:t>
      </w:r>
      <w:r w:rsidRPr="0077051B">
        <w:rPr>
          <w:rFonts w:ascii="Arial" w:hAnsi="Arial" w:cs="Arial"/>
          <w:sz w:val="24"/>
          <w:szCs w:val="24"/>
        </w:rPr>
        <w:br/>
      </w:r>
      <w:r w:rsidRPr="0077051B">
        <w:rPr>
          <w:rFonts w:ascii="Arial" w:hAnsi="Arial" w:cs="Arial"/>
          <w:b/>
          <w:sz w:val="24"/>
          <w:szCs w:val="24"/>
        </w:rPr>
        <w:t>Ma konta 225</w:t>
      </w:r>
      <w:r w:rsidRPr="0077051B">
        <w:rPr>
          <w:rFonts w:ascii="Arial" w:hAnsi="Arial" w:cs="Arial"/>
          <w:sz w:val="24"/>
          <w:szCs w:val="24"/>
        </w:rPr>
        <w:t xml:space="preserve"> zobowiązania wobec budżetów i wpłaty od budżetów.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do konta 225 powinna zapewnić możliwość ustalenia stanu należności i zobowiązań według każdego z tytułów rozrachunków z budżetem odrębnie.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225 może mieć dwa salda. Saldo Wn oznacza stan należności, a saldo Ma stan zobowiązań wobec budżetów.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229 „Pozostałe rozrachunki publicznoprawne”  </w:t>
      </w:r>
    </w:p>
    <w:p w:rsidR="00B76DE9" w:rsidRPr="0077051B" w:rsidRDefault="00B76DE9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229 </w:t>
      </w:r>
      <w:r w:rsidRPr="0077051B">
        <w:rPr>
          <w:rFonts w:ascii="Arial" w:hAnsi="Arial" w:cs="Arial"/>
          <w:sz w:val="24"/>
          <w:szCs w:val="24"/>
        </w:rPr>
        <w:t xml:space="preserve">służy do rozrachunków publicznoprawnych z tytułu </w:t>
      </w:r>
      <w:r w:rsidR="007B0186" w:rsidRPr="0077051B">
        <w:rPr>
          <w:rFonts w:ascii="Arial" w:hAnsi="Arial" w:cs="Arial"/>
          <w:sz w:val="24"/>
          <w:szCs w:val="24"/>
        </w:rPr>
        <w:t>ubezpieczeń społecznych ,</w:t>
      </w:r>
      <w:r w:rsidRPr="0077051B">
        <w:rPr>
          <w:rFonts w:ascii="Arial" w:hAnsi="Arial" w:cs="Arial"/>
          <w:sz w:val="24"/>
          <w:szCs w:val="24"/>
        </w:rPr>
        <w:t xml:space="preserve"> </w:t>
      </w:r>
      <w:r w:rsidR="00C81162" w:rsidRPr="0077051B">
        <w:rPr>
          <w:rFonts w:ascii="Arial" w:hAnsi="Arial" w:cs="Arial"/>
          <w:sz w:val="24"/>
          <w:szCs w:val="24"/>
        </w:rPr>
        <w:t>zdrowotnych i</w:t>
      </w:r>
      <w:r w:rsidR="007B0186" w:rsidRPr="0077051B">
        <w:rPr>
          <w:rFonts w:ascii="Arial" w:hAnsi="Arial" w:cs="Arial"/>
          <w:sz w:val="24"/>
          <w:szCs w:val="24"/>
        </w:rPr>
        <w:t xml:space="preserve">  funduszu pracy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229</w:t>
      </w:r>
      <w:r w:rsidRPr="0077051B">
        <w:rPr>
          <w:rFonts w:ascii="Arial" w:hAnsi="Arial" w:cs="Arial"/>
          <w:sz w:val="24"/>
          <w:szCs w:val="24"/>
        </w:rPr>
        <w:t xml:space="preserve"> ujmuje się należności oraz spłatę i zmniejszenie zobowiązań, a na stronie </w:t>
      </w:r>
      <w:r w:rsidRPr="0077051B">
        <w:rPr>
          <w:rFonts w:ascii="Arial" w:hAnsi="Arial" w:cs="Arial"/>
          <w:b/>
          <w:sz w:val="24"/>
          <w:szCs w:val="24"/>
        </w:rPr>
        <w:t>Ma konta 229</w:t>
      </w:r>
      <w:r w:rsidRPr="0077051B">
        <w:rPr>
          <w:rFonts w:ascii="Arial" w:hAnsi="Arial" w:cs="Arial"/>
          <w:sz w:val="24"/>
          <w:szCs w:val="24"/>
        </w:rPr>
        <w:t xml:space="preserve"> – zobowiązania, spłatę  i zmniejszenie należności z tytułu rozrachunków publicznoprawnych. 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229 powinna zapewnić możliwość ustalenia stanu należnoś</w:t>
      </w:r>
      <w:r w:rsidR="007B0186" w:rsidRPr="0077051B">
        <w:rPr>
          <w:rFonts w:ascii="Arial" w:hAnsi="Arial" w:cs="Arial"/>
          <w:sz w:val="24"/>
          <w:szCs w:val="24"/>
        </w:rPr>
        <w:t>ci i zobowiązań według  klasyfikacji budżetowej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229 może wykazywać dwa salda. Saldo Wn oznacza stan należności, a saldo Ma stan zobowiązań.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231 „Rozrachunki z tytułu wynagrodzeń”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231 </w:t>
      </w:r>
      <w:r w:rsidRPr="0077051B">
        <w:rPr>
          <w:rFonts w:ascii="Arial" w:hAnsi="Arial" w:cs="Arial"/>
          <w:sz w:val="24"/>
          <w:szCs w:val="24"/>
        </w:rPr>
        <w:t>służy do ewidencji rozrachunków z p</w:t>
      </w:r>
      <w:r w:rsidR="007B0186" w:rsidRPr="0077051B">
        <w:rPr>
          <w:rFonts w:ascii="Arial" w:hAnsi="Arial" w:cs="Arial"/>
          <w:sz w:val="24"/>
          <w:szCs w:val="24"/>
        </w:rPr>
        <w:t>racownikami MOPS w Sławkowie</w:t>
      </w:r>
      <w:r w:rsidRPr="0077051B">
        <w:rPr>
          <w:rFonts w:ascii="Arial" w:hAnsi="Arial" w:cs="Arial"/>
          <w:sz w:val="24"/>
          <w:szCs w:val="24"/>
        </w:rPr>
        <w:t xml:space="preserve"> i innymi osobami fizycznymi z tytułu wypłat pieniężnych i świadczeń rzeczowych zaliczanych, zgodnie z odrębnymi przepisami do wynagrodzeń, a w szczególności należności za pracę wykonywaną na podstawie stosunku pracy, umowy zlecenia, um</w:t>
      </w:r>
      <w:r w:rsidR="00FA20AE" w:rsidRPr="0077051B">
        <w:rPr>
          <w:rFonts w:ascii="Arial" w:hAnsi="Arial" w:cs="Arial"/>
          <w:sz w:val="24"/>
          <w:szCs w:val="24"/>
        </w:rPr>
        <w:t xml:space="preserve">owy o dzieło,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231</w:t>
      </w:r>
      <w:r w:rsidRPr="0077051B">
        <w:rPr>
          <w:rFonts w:ascii="Arial" w:hAnsi="Arial" w:cs="Arial"/>
          <w:sz w:val="24"/>
          <w:szCs w:val="24"/>
        </w:rPr>
        <w:t xml:space="preserve"> ujmuje się w szczególności:</w:t>
      </w:r>
    </w:p>
    <w:p w:rsidR="000D760F" w:rsidRPr="0077051B" w:rsidRDefault="000D760F" w:rsidP="0064634B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przelewy wynagrodzeń,</w:t>
      </w:r>
    </w:p>
    <w:p w:rsidR="000D760F" w:rsidRPr="0077051B" w:rsidRDefault="000D760F" w:rsidP="0064634B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wypłaty zaliczek na poczet wynagrodzeń,</w:t>
      </w:r>
    </w:p>
    <w:p w:rsidR="000D760F" w:rsidRPr="0077051B" w:rsidRDefault="000D760F" w:rsidP="0064634B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>wartość wydanych świadczeń rzeczowych</w:t>
      </w:r>
      <w:r w:rsidR="00FA20AE" w:rsidRPr="0077051B">
        <w:rPr>
          <w:rFonts w:ascii="Arial" w:hAnsi="Arial" w:cs="Arial"/>
          <w:sz w:val="24"/>
          <w:szCs w:val="24"/>
        </w:rPr>
        <w:t xml:space="preserve"> nie</w:t>
      </w:r>
      <w:r w:rsidRPr="0077051B">
        <w:rPr>
          <w:rFonts w:ascii="Arial" w:hAnsi="Arial" w:cs="Arial"/>
          <w:sz w:val="24"/>
          <w:szCs w:val="24"/>
        </w:rPr>
        <w:t xml:space="preserve"> zaliczanych do wynagrodzeń,</w:t>
      </w:r>
      <w:r w:rsidR="00FA20AE" w:rsidRPr="0077051B">
        <w:rPr>
          <w:rFonts w:ascii="Arial" w:hAnsi="Arial" w:cs="Arial"/>
          <w:sz w:val="24"/>
          <w:szCs w:val="24"/>
        </w:rPr>
        <w:t>/ np. bony świąteczne z ZFŚS/</w:t>
      </w:r>
    </w:p>
    <w:p w:rsidR="000D760F" w:rsidRPr="0077051B" w:rsidRDefault="000D760F" w:rsidP="0064634B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potrącenia wynagrodzeń obciążające pracownika.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231</w:t>
      </w:r>
      <w:r w:rsidRPr="0077051B">
        <w:rPr>
          <w:rFonts w:ascii="Arial" w:hAnsi="Arial" w:cs="Arial"/>
          <w:sz w:val="24"/>
          <w:szCs w:val="24"/>
        </w:rPr>
        <w:t xml:space="preserve"> ujmuje się w szczególności:</w:t>
      </w:r>
    </w:p>
    <w:p w:rsidR="000D760F" w:rsidRPr="0077051B" w:rsidRDefault="000D760F" w:rsidP="0064634B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nalic</w:t>
      </w:r>
      <w:r w:rsidR="00FA20AE" w:rsidRPr="0077051B">
        <w:rPr>
          <w:rFonts w:ascii="Arial" w:hAnsi="Arial" w:cs="Arial"/>
          <w:sz w:val="24"/>
          <w:szCs w:val="24"/>
        </w:rPr>
        <w:t xml:space="preserve">zone wynagrodzenia </w:t>
      </w:r>
    </w:p>
    <w:p w:rsidR="000D760F" w:rsidRPr="0077051B" w:rsidRDefault="000D760F" w:rsidP="0064634B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naliczone wynagrodze</w:t>
      </w:r>
      <w:r w:rsidR="00FA20AE" w:rsidRPr="0077051B">
        <w:rPr>
          <w:rFonts w:ascii="Arial" w:hAnsi="Arial" w:cs="Arial"/>
          <w:sz w:val="24"/>
          <w:szCs w:val="24"/>
        </w:rPr>
        <w:t>nia pokrywane z  umów zlecenia,</w:t>
      </w:r>
    </w:p>
    <w:p w:rsidR="000D760F" w:rsidRPr="0077051B" w:rsidRDefault="00FA20AE" w:rsidP="0064634B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naliczane świadczenia z ZUS ,</w:t>
      </w:r>
    </w:p>
    <w:p w:rsidR="000D760F" w:rsidRPr="0077051B" w:rsidRDefault="00FA20AE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</w:t>
      </w:r>
      <w:r w:rsidR="00340683" w:rsidRPr="0077051B">
        <w:rPr>
          <w:rFonts w:ascii="Arial" w:hAnsi="Arial" w:cs="Arial"/>
          <w:sz w:val="24"/>
          <w:szCs w:val="24"/>
        </w:rPr>
        <w:t>Analitykę do konta 231 stanowi imienna kartoteka zarobkowa pracowników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231 może wykazywać dwa salda. Saldo Wn oznacza stan należności, a saldo Ma stan zobowiązań z tytułu wynagrodzeń.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234 „Pozostałe rozrachunki z pracownikami”  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234 </w:t>
      </w:r>
      <w:r w:rsidRPr="0077051B">
        <w:rPr>
          <w:rFonts w:ascii="Arial" w:hAnsi="Arial" w:cs="Arial"/>
          <w:sz w:val="24"/>
          <w:szCs w:val="24"/>
        </w:rPr>
        <w:t>służy do ewidencji należności, roszczeń i zobowiązań wobec pracowników</w:t>
      </w:r>
      <w:r w:rsidRPr="0077051B">
        <w:rPr>
          <w:rFonts w:ascii="Arial" w:hAnsi="Arial" w:cs="Arial"/>
          <w:b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z innych tytułów niż wynagrodzenia.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234</w:t>
      </w:r>
      <w:r w:rsidRPr="0077051B">
        <w:rPr>
          <w:rFonts w:ascii="Arial" w:hAnsi="Arial" w:cs="Arial"/>
          <w:sz w:val="24"/>
          <w:szCs w:val="24"/>
        </w:rPr>
        <w:t xml:space="preserve"> ujmuje się w szczególności:</w:t>
      </w:r>
    </w:p>
    <w:p w:rsidR="000D760F" w:rsidRPr="0077051B" w:rsidRDefault="00837059" w:rsidP="0064634B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wypłacone pracownikom zaliczki i sumy do rozliczenia na wydatki</w:t>
      </w:r>
      <w:r w:rsidR="0013596F" w:rsidRPr="0077051B">
        <w:rPr>
          <w:rFonts w:ascii="Arial" w:hAnsi="Arial" w:cs="Arial"/>
          <w:sz w:val="24"/>
          <w:szCs w:val="24"/>
        </w:rPr>
        <w:t xml:space="preserve"> obciążające jednostkę</w:t>
      </w:r>
    </w:p>
    <w:p w:rsidR="0013596F" w:rsidRPr="0077051B" w:rsidRDefault="0013596F" w:rsidP="0064634B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należności od pracowników z tytułu dokonanych przez jednostkę świadczeń odpłatnych</w:t>
      </w:r>
    </w:p>
    <w:p w:rsidR="000D760F" w:rsidRPr="0077051B" w:rsidRDefault="000D760F" w:rsidP="0064634B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należności z tytułu niedoborów i szkód or</w:t>
      </w:r>
      <w:r w:rsidR="00340683" w:rsidRPr="0077051B">
        <w:rPr>
          <w:rFonts w:ascii="Arial" w:hAnsi="Arial" w:cs="Arial"/>
          <w:sz w:val="24"/>
          <w:szCs w:val="24"/>
        </w:rPr>
        <w:t>az kar obciążających pracownika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234</w:t>
      </w:r>
      <w:r w:rsidRPr="0077051B">
        <w:rPr>
          <w:rFonts w:ascii="Arial" w:hAnsi="Arial" w:cs="Arial"/>
          <w:sz w:val="24"/>
          <w:szCs w:val="24"/>
        </w:rPr>
        <w:t xml:space="preserve"> ujmuje się w szczególności:</w:t>
      </w:r>
    </w:p>
    <w:p w:rsidR="000D760F" w:rsidRPr="0077051B" w:rsidRDefault="000D760F" w:rsidP="0064634B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wpłaty należności od pracowników,</w:t>
      </w:r>
    </w:p>
    <w:p w:rsidR="000D760F" w:rsidRPr="0077051B" w:rsidRDefault="000D760F" w:rsidP="0064634B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rozliczone zaliczki i zwroty środków pieniężnych.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234 powinna zapewnić możliwość ustalenia stanu należności, roszczeń i zobowiązań z poszczególnymi pracownikami według rozrachunków.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234 może wykazywać dwa salda. Saldo Wn oznacza stan należności i roszczeń, a saldo Ma stan zobowiązań wobec pracowników.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F31E7D" w:rsidRPr="0077051B" w:rsidRDefault="00F31E7D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240 „Pozostałe rozrachunki”</w:t>
      </w:r>
    </w:p>
    <w:p w:rsidR="00197C1C" w:rsidRPr="0077051B" w:rsidRDefault="00197C1C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240 </w:t>
      </w:r>
      <w:r w:rsidRPr="0077051B">
        <w:rPr>
          <w:rFonts w:ascii="Arial" w:hAnsi="Arial" w:cs="Arial"/>
          <w:sz w:val="24"/>
          <w:szCs w:val="24"/>
        </w:rPr>
        <w:t>służy do ewi</w:t>
      </w:r>
      <w:r w:rsidR="00340683" w:rsidRPr="0077051B">
        <w:rPr>
          <w:rFonts w:ascii="Arial" w:hAnsi="Arial" w:cs="Arial"/>
          <w:sz w:val="24"/>
          <w:szCs w:val="24"/>
        </w:rPr>
        <w:t xml:space="preserve">dencji </w:t>
      </w:r>
      <w:r w:rsidRPr="0077051B">
        <w:rPr>
          <w:rFonts w:ascii="Arial" w:hAnsi="Arial" w:cs="Arial"/>
          <w:sz w:val="24"/>
          <w:szCs w:val="24"/>
        </w:rPr>
        <w:t xml:space="preserve"> należności i roszczeń oraz zobowiązań nieobjętych ewidencją na kontach 201-234. Konto 240 może być używane również do ewidencji pożyczek i różnego rodzaju rozliczeń, a także krótko i długoterminowy</w:t>
      </w:r>
      <w:r w:rsidR="00340683" w:rsidRPr="0077051B">
        <w:rPr>
          <w:rFonts w:ascii="Arial" w:hAnsi="Arial" w:cs="Arial"/>
          <w:sz w:val="24"/>
          <w:szCs w:val="24"/>
        </w:rPr>
        <w:t xml:space="preserve">ch należności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240</w:t>
      </w:r>
      <w:r w:rsidRPr="0077051B">
        <w:rPr>
          <w:rFonts w:ascii="Arial" w:hAnsi="Arial" w:cs="Arial"/>
          <w:sz w:val="24"/>
          <w:szCs w:val="24"/>
        </w:rPr>
        <w:t xml:space="preserve"> ujmuje się powstałe należności i roszczenia oraz spłatę i zmniejszenie zobowiązań, a w</w:t>
      </w:r>
      <w:r w:rsidR="00340683" w:rsidRPr="0077051B">
        <w:rPr>
          <w:rFonts w:ascii="Arial" w:hAnsi="Arial" w:cs="Arial"/>
          <w:sz w:val="24"/>
          <w:szCs w:val="24"/>
        </w:rPr>
        <w:t xml:space="preserve"> szczególności: wypłaty ,</w:t>
      </w:r>
      <w:r w:rsidRPr="0077051B">
        <w:rPr>
          <w:rFonts w:ascii="Arial" w:hAnsi="Arial" w:cs="Arial"/>
          <w:sz w:val="24"/>
          <w:szCs w:val="24"/>
        </w:rPr>
        <w:t xml:space="preserve"> spłaty zaciągniętych pożyczek, wypłaty sum na z</w:t>
      </w:r>
      <w:r w:rsidR="00340683" w:rsidRPr="0077051B">
        <w:rPr>
          <w:rFonts w:ascii="Arial" w:hAnsi="Arial" w:cs="Arial"/>
          <w:sz w:val="24"/>
          <w:szCs w:val="24"/>
        </w:rPr>
        <w:t>lecenie,</w:t>
      </w:r>
      <w:r w:rsidRPr="0077051B">
        <w:rPr>
          <w:rFonts w:ascii="Arial" w:hAnsi="Arial" w:cs="Arial"/>
          <w:sz w:val="24"/>
          <w:szCs w:val="24"/>
        </w:rPr>
        <w:t xml:space="preserve"> niedobory i szkody, rozliczenie nadwyżek w składnikach majątkowych, błędy i korekty w wyciągach ba</w:t>
      </w:r>
      <w:r w:rsidR="00340683" w:rsidRPr="0077051B">
        <w:rPr>
          <w:rFonts w:ascii="Arial" w:hAnsi="Arial" w:cs="Arial"/>
          <w:sz w:val="24"/>
          <w:szCs w:val="24"/>
        </w:rPr>
        <w:t xml:space="preserve">nkowych, roszczenia sporne,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240</w:t>
      </w:r>
      <w:r w:rsidRPr="0077051B">
        <w:rPr>
          <w:rFonts w:ascii="Arial" w:hAnsi="Arial" w:cs="Arial"/>
          <w:sz w:val="24"/>
          <w:szCs w:val="24"/>
        </w:rPr>
        <w:t xml:space="preserve"> ujmuje się powstałe zobowiązania oraz spłatę i zmniejszenie należności </w:t>
      </w:r>
      <w:r w:rsidR="00340683" w:rsidRPr="0077051B">
        <w:rPr>
          <w:rFonts w:ascii="Arial" w:hAnsi="Arial" w:cs="Arial"/>
          <w:sz w:val="24"/>
          <w:szCs w:val="24"/>
        </w:rPr>
        <w:t xml:space="preserve">i roszczeń, </w:t>
      </w:r>
      <w:r w:rsidRPr="0077051B">
        <w:rPr>
          <w:rFonts w:ascii="Arial" w:hAnsi="Arial" w:cs="Arial"/>
          <w:sz w:val="24"/>
          <w:szCs w:val="24"/>
        </w:rPr>
        <w:t xml:space="preserve">, nadwyżki w składnikach majątkowych, </w:t>
      </w:r>
      <w:r w:rsidRPr="0077051B">
        <w:rPr>
          <w:rFonts w:ascii="Arial" w:hAnsi="Arial" w:cs="Arial"/>
          <w:sz w:val="24"/>
          <w:szCs w:val="24"/>
        </w:rPr>
        <w:lastRenderedPageBreak/>
        <w:t>rozliczenie niedoborów i szkód w składnikach majątkowych, błędy i korekty w wyciągach bankowych, potrącenia na listach plac inne niż zaliczki na podatek dochodowy od osób fizycznych i składki na ubezpieczenia społeczne, odpisanie należności umorzonych, nieistotnych, zasądzonych l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prowadzona do konta 240 powinna zapewnić ustalenie rozrachunków, roszczeń i rozliczeń z poszczególnych tytułów.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240 może mieć dwa salda. Saldo Wn oznacza stan należności i roszczeń, a saldo Ma stan zobowiązań.</w:t>
      </w:r>
    </w:p>
    <w:p w:rsidR="00837059" w:rsidRPr="0077051B" w:rsidRDefault="00837059" w:rsidP="0064634B">
      <w:pPr>
        <w:pStyle w:val="Style15"/>
        <w:widowControl/>
        <w:rPr>
          <w:rStyle w:val="FontStyle337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7"/>
          <w:rFonts w:ascii="Arial" w:hAnsi="Arial" w:cs="Arial"/>
          <w:color w:val="auto"/>
          <w:sz w:val="24"/>
          <w:szCs w:val="24"/>
        </w:rPr>
        <w:t>Konto 245 - „Wpływy do wyjaśnienia"</w:t>
      </w:r>
    </w:p>
    <w:p w:rsidR="00837059" w:rsidRPr="0077051B" w:rsidRDefault="00837059" w:rsidP="0064634B">
      <w:pPr>
        <w:pStyle w:val="Style11"/>
        <w:widowControl/>
        <w:spacing w:line="240" w:lineRule="auto"/>
        <w:jc w:val="left"/>
        <w:rPr>
          <w:rFonts w:ascii="Arial" w:hAnsi="Arial" w:cs="Arial"/>
        </w:rPr>
      </w:pPr>
    </w:p>
    <w:p w:rsidR="00837059" w:rsidRPr="0077051B" w:rsidRDefault="00837059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245 służy do ewidencji wpłaconych a niewyjaśnionych kwot należności z tytułu dochodów budżetowych.</w:t>
      </w:r>
    </w:p>
    <w:p w:rsidR="00837059" w:rsidRPr="0077051B" w:rsidRDefault="00837059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Wn konta 245 ujmuje się w szczególności kwoty wyjaśnionych wpłat oraz zwroty kwot uznanych w toku wyjaśnienia za nienależne.</w:t>
      </w:r>
    </w:p>
    <w:p w:rsidR="00837059" w:rsidRPr="0077051B" w:rsidRDefault="00837059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Ma konta 245 ujmuje się w szczególności kwoty niewyjaśnionych wpłat.</w:t>
      </w:r>
    </w:p>
    <w:p w:rsidR="00837059" w:rsidRPr="0077051B" w:rsidRDefault="00837059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245 może wykazywać saldo Ma, które wykazuje stan niewyjaśnionych wpłat.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290 „Odpisy aktualizujące należności”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A1373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290 </w:t>
      </w:r>
      <w:r w:rsidRPr="0077051B">
        <w:rPr>
          <w:rFonts w:ascii="Arial" w:hAnsi="Arial" w:cs="Arial"/>
          <w:sz w:val="24"/>
          <w:szCs w:val="24"/>
        </w:rPr>
        <w:t xml:space="preserve">służy do ewidencji odpisów aktualizujących należności wątpliwe </w:t>
      </w:r>
      <w:r w:rsidR="007A1373" w:rsidRPr="0077051B">
        <w:rPr>
          <w:rFonts w:ascii="Arial" w:hAnsi="Arial" w:cs="Arial"/>
          <w:sz w:val="24"/>
          <w:szCs w:val="24"/>
        </w:rPr>
        <w:t xml:space="preserve">. Odpisów aktualizujących dokonuje się </w:t>
      </w:r>
      <w:r w:rsidR="00666362" w:rsidRPr="0077051B">
        <w:rPr>
          <w:rFonts w:ascii="Arial" w:hAnsi="Arial" w:cs="Arial"/>
          <w:sz w:val="24"/>
          <w:szCs w:val="24"/>
        </w:rPr>
        <w:t xml:space="preserve">w odniesieniu do należności wątpliwych, </w:t>
      </w:r>
      <w:r w:rsidR="00905CB9">
        <w:rPr>
          <w:rFonts w:ascii="Arial" w:hAnsi="Arial" w:cs="Arial"/>
          <w:sz w:val="24"/>
          <w:szCs w:val="24"/>
        </w:rPr>
        <w:t>w przypadkach określonych  w  uor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Saldo Ma konta 290</w:t>
      </w:r>
      <w:r w:rsidRPr="0077051B">
        <w:rPr>
          <w:rFonts w:ascii="Arial" w:hAnsi="Arial" w:cs="Arial"/>
          <w:sz w:val="24"/>
          <w:szCs w:val="24"/>
        </w:rPr>
        <w:t xml:space="preserve"> oznacza wartość odpisów aktualizujących </w:t>
      </w:r>
    </w:p>
    <w:p w:rsidR="000D760F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DC6E33" w:rsidRPr="0077051B" w:rsidRDefault="00DC6E33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3 „Materiały i towary”</w:t>
      </w:r>
    </w:p>
    <w:p w:rsidR="00AC3878" w:rsidRDefault="00AC3878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AC3878" w:rsidRDefault="00AC3878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C3878">
        <w:rPr>
          <w:rFonts w:ascii="Arial" w:hAnsi="Arial" w:cs="Arial"/>
          <w:b/>
          <w:sz w:val="24"/>
          <w:szCs w:val="24"/>
        </w:rPr>
        <w:t>Konto 300 – ,,Rozliczenie zakupu,,</w:t>
      </w:r>
    </w:p>
    <w:p w:rsidR="00AC3878" w:rsidRDefault="00AC3878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AC3878">
        <w:rPr>
          <w:rFonts w:ascii="Arial" w:hAnsi="Arial" w:cs="Arial"/>
          <w:sz w:val="24"/>
          <w:szCs w:val="24"/>
        </w:rPr>
        <w:t xml:space="preserve">Konto </w:t>
      </w:r>
      <w:r>
        <w:rPr>
          <w:rFonts w:ascii="Arial" w:hAnsi="Arial" w:cs="Arial"/>
          <w:sz w:val="24"/>
          <w:szCs w:val="24"/>
        </w:rPr>
        <w:t>300 służ</w:t>
      </w:r>
      <w:r w:rsidRPr="00AC3878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do ewidencji rozliczenia zakupu: materiałów, towarów, </w:t>
      </w:r>
      <w:r w:rsidR="00432F88">
        <w:rPr>
          <w:rFonts w:ascii="Arial" w:hAnsi="Arial" w:cs="Arial"/>
          <w:sz w:val="24"/>
          <w:szCs w:val="24"/>
        </w:rPr>
        <w:t xml:space="preserve">( artykułów spożywczych , robót i </w:t>
      </w:r>
      <w:r>
        <w:rPr>
          <w:rFonts w:ascii="Arial" w:hAnsi="Arial" w:cs="Arial"/>
          <w:sz w:val="24"/>
          <w:szCs w:val="24"/>
        </w:rPr>
        <w:t xml:space="preserve">usług </w:t>
      </w:r>
      <w:r w:rsidR="00432F88">
        <w:rPr>
          <w:rFonts w:ascii="Arial" w:hAnsi="Arial" w:cs="Arial"/>
          <w:sz w:val="24"/>
          <w:szCs w:val="24"/>
        </w:rPr>
        <w:t xml:space="preserve"> a szczególności do ustalenia wartości materiałów i towarów w drodze oraz wartości dostaw niefakturowanych.</w:t>
      </w:r>
      <w:r>
        <w:rPr>
          <w:rFonts w:ascii="Arial" w:hAnsi="Arial" w:cs="Arial"/>
          <w:sz w:val="24"/>
          <w:szCs w:val="24"/>
        </w:rPr>
        <w:t>– na koniec roku obrotowego.</w:t>
      </w:r>
      <w:r w:rsidR="00432F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Konto 300 może wykazywać dwa salda :</w:t>
      </w:r>
    </w:p>
    <w:p w:rsidR="00AC3878" w:rsidRDefault="00432F88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stronie </w:t>
      </w:r>
      <w:r w:rsidR="00AC3878" w:rsidRPr="00DC6E33">
        <w:rPr>
          <w:rFonts w:ascii="Arial" w:hAnsi="Arial" w:cs="Arial"/>
          <w:b/>
          <w:sz w:val="24"/>
          <w:szCs w:val="24"/>
        </w:rPr>
        <w:t>Wn –</w:t>
      </w:r>
      <w:r>
        <w:rPr>
          <w:rFonts w:ascii="Arial" w:hAnsi="Arial" w:cs="Arial"/>
          <w:sz w:val="24"/>
          <w:szCs w:val="24"/>
        </w:rPr>
        <w:t>, konta 300 ujmuje się  :faktury od dostawców krajowych i zagranicznych łącznie z naliczo</w:t>
      </w:r>
      <w:r w:rsidR="00634699">
        <w:rPr>
          <w:rFonts w:ascii="Arial" w:hAnsi="Arial" w:cs="Arial"/>
          <w:sz w:val="24"/>
          <w:szCs w:val="24"/>
        </w:rPr>
        <w:t>nym podatkiem od towarów i usług</w:t>
      </w:r>
      <w:r>
        <w:rPr>
          <w:rFonts w:ascii="Arial" w:hAnsi="Arial" w:cs="Arial"/>
          <w:sz w:val="24"/>
          <w:szCs w:val="24"/>
        </w:rPr>
        <w:t>, zwanym dalej podatkiem VAT</w:t>
      </w:r>
    </w:p>
    <w:p w:rsidR="00DC6E33" w:rsidRDefault="00432F88" w:rsidP="00432F8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stronie </w:t>
      </w:r>
      <w:r w:rsidR="00AC3878" w:rsidRPr="00DC6E33">
        <w:rPr>
          <w:rFonts w:ascii="Arial" w:hAnsi="Arial" w:cs="Arial"/>
          <w:b/>
          <w:sz w:val="24"/>
          <w:szCs w:val="24"/>
        </w:rPr>
        <w:t xml:space="preserve"> Ma</w:t>
      </w:r>
      <w:r w:rsidR="00AC387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konta 300  ujmuje się :</w:t>
      </w:r>
    </w:p>
    <w:p w:rsidR="00432F88" w:rsidRDefault="00432F88" w:rsidP="00432F8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przyjętych dostaw i usług,, naliczony podatek VAT  do rozliczenia z urzędem skarbowym.</w:t>
      </w:r>
    </w:p>
    <w:p w:rsidR="00432F88" w:rsidRDefault="00432F88" w:rsidP="00432F8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pośrednictwem konta 300 można rozliczać również odchylenia od cen ewidencyjnych</w:t>
      </w:r>
      <w:r w:rsidR="00D705BA">
        <w:rPr>
          <w:rFonts w:ascii="Arial" w:hAnsi="Arial" w:cs="Arial"/>
          <w:sz w:val="24"/>
          <w:szCs w:val="24"/>
        </w:rPr>
        <w:t>, od rzeczywistych cen zakupu lub nabycia .</w:t>
      </w:r>
    </w:p>
    <w:p w:rsidR="00D705BA" w:rsidRDefault="00D705BA" w:rsidP="00432F8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 300 może wykazywać dwa salda .Saldo Wn oznacza stan dostaw w drodze , a saldo Ma – stan dostaw lub usług niefakturowanych.</w:t>
      </w:r>
    </w:p>
    <w:p w:rsidR="00DC6E33" w:rsidRDefault="00DC6E33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DDSW na koncie 300 księguje się rozliczenie zakupu tylko na przełomie roku obrotowego.</w:t>
      </w:r>
    </w:p>
    <w:p w:rsidR="00DC6E33" w:rsidRDefault="00DC6E33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197C1C" w:rsidRDefault="00197C1C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AC3878" w:rsidRPr="00AC3878" w:rsidRDefault="00AC3878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20358D" w:rsidRPr="0077051B" w:rsidRDefault="0020358D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310 „Materiały”</w:t>
      </w:r>
    </w:p>
    <w:p w:rsidR="0020358D" w:rsidRPr="0077051B" w:rsidRDefault="0020358D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służy do ewidencji zapasu materiałów. Na koncie tym ujmuje się również wartość materiałów ujętych w koszty w momencie ich zakupu, ale niezużytych do końca roku obrotowego, ujęcie ich na kocie 310 następuje na podstawie inwentaryzacji.</w:t>
      </w:r>
    </w:p>
    <w:p w:rsidR="000D760F" w:rsidRDefault="00FC1415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DC6E33">
        <w:rPr>
          <w:rFonts w:ascii="Arial" w:hAnsi="Arial" w:cs="Arial"/>
          <w:b/>
          <w:sz w:val="24"/>
          <w:szCs w:val="24"/>
        </w:rPr>
        <w:t>Na stronie Wn</w:t>
      </w:r>
      <w:r w:rsidRPr="0077051B">
        <w:rPr>
          <w:rFonts w:ascii="Arial" w:hAnsi="Arial" w:cs="Arial"/>
          <w:sz w:val="24"/>
          <w:szCs w:val="24"/>
        </w:rPr>
        <w:t xml:space="preserve"> konta </w:t>
      </w:r>
      <w:r w:rsidR="00340683" w:rsidRPr="0077051B">
        <w:rPr>
          <w:rFonts w:ascii="Arial" w:hAnsi="Arial" w:cs="Arial"/>
          <w:sz w:val="24"/>
          <w:szCs w:val="24"/>
        </w:rPr>
        <w:t>310</w:t>
      </w:r>
      <w:r w:rsidR="000D760F" w:rsidRPr="0077051B">
        <w:rPr>
          <w:rFonts w:ascii="Arial" w:hAnsi="Arial" w:cs="Arial"/>
          <w:sz w:val="24"/>
          <w:szCs w:val="24"/>
        </w:rPr>
        <w:t xml:space="preserve"> </w:t>
      </w:r>
      <w:r w:rsidR="00340683" w:rsidRPr="0077051B">
        <w:rPr>
          <w:rFonts w:ascii="Arial" w:hAnsi="Arial" w:cs="Arial"/>
          <w:sz w:val="24"/>
          <w:szCs w:val="24"/>
        </w:rPr>
        <w:t xml:space="preserve"> ewidencjonuje się towary zakupione a nie zużyte w ciągu roku obr</w:t>
      </w:r>
      <w:r w:rsidR="007B2B1A">
        <w:rPr>
          <w:rFonts w:ascii="Arial" w:hAnsi="Arial" w:cs="Arial"/>
          <w:sz w:val="24"/>
          <w:szCs w:val="24"/>
        </w:rPr>
        <w:t>otowego / np. znaczki pocztowe , artykuły spożywcze , środki czystości itp. )</w:t>
      </w:r>
      <w:r w:rsidR="00905CB9">
        <w:rPr>
          <w:rFonts w:ascii="Arial" w:hAnsi="Arial" w:cs="Arial"/>
          <w:sz w:val="24"/>
          <w:szCs w:val="24"/>
        </w:rPr>
        <w:t xml:space="preserve"> </w:t>
      </w:r>
    </w:p>
    <w:p w:rsidR="00634699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Wn  konta 310 rozchód zinwentaryzowanych i niezużytych  materiałów </w:t>
      </w:r>
    </w:p>
    <w:p w:rsidR="00634699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następnym roku obrotowym.</w:t>
      </w:r>
    </w:p>
    <w:p w:rsidR="00D705BA" w:rsidRPr="0077051B" w:rsidRDefault="00D705BA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4 „Koszty według rodzajów i ich rozliczenie”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Konta zespołu 4 „Koszty według rodzajów i ich rozliczenie” służą do ewidencji kosztów w układzie rodzajowym i ich rozliczenia i kosztów amortyzacji.</w:t>
      </w:r>
    </w:p>
    <w:p w:rsidR="00B01ECB" w:rsidRPr="0077051B" w:rsidRDefault="00B01EC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Poniesione koszty ujmuje się w księgach rachunkowych w momencie ich powstania, niezależnie od terminu ich zapłaty. Zmniejszenia uprzednio zarachowanych kosztów dokonuje się na podstawie dokumentów korygujących koszty.</w:t>
      </w:r>
    </w:p>
    <w:p w:rsidR="00B01ECB" w:rsidRPr="0077051B" w:rsidRDefault="00B01ECB" w:rsidP="0064634B">
      <w:pPr>
        <w:pStyle w:val="Style11"/>
        <w:widowControl/>
        <w:spacing w:line="276" w:lineRule="auto"/>
        <w:jc w:val="left"/>
        <w:rPr>
          <w:rFonts w:ascii="Arial" w:hAnsi="Arial" w:cs="Arial"/>
        </w:rPr>
      </w:pPr>
    </w:p>
    <w:p w:rsidR="00B01ECB" w:rsidRPr="0077051B" w:rsidRDefault="00B01EC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Nie księguje się na kontach zespołu 4 kosztów finansowanych - zgodnie z odrębnymi przepisami - z funduszy specjalnych i innych oraz kosztów inwestycji, pozostałych kosztów operacyjnych, kosztów operacji finansowych i strat nadzwyczajnych.</w:t>
      </w:r>
    </w:p>
    <w:p w:rsidR="00B01ECB" w:rsidRPr="0077051B" w:rsidRDefault="00B01ECB" w:rsidP="0064634B">
      <w:pPr>
        <w:pStyle w:val="Style11"/>
        <w:widowControl/>
        <w:spacing w:line="276" w:lineRule="auto"/>
        <w:ind w:right="58"/>
        <w:jc w:val="left"/>
        <w:rPr>
          <w:rFonts w:ascii="Arial" w:hAnsi="Arial" w:cs="Arial"/>
        </w:rPr>
      </w:pPr>
    </w:p>
    <w:p w:rsidR="00B01ECB" w:rsidRPr="0077051B" w:rsidRDefault="00B01ECB" w:rsidP="0064634B">
      <w:pPr>
        <w:pStyle w:val="Style11"/>
        <w:widowControl/>
        <w:spacing w:line="276" w:lineRule="auto"/>
        <w:ind w:right="58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Ewidencję szczegółową do kont zespołu 4 prowadzi się według podziałek klasyfikacji planu finansowego oraz w przekrojach dostosowanych do potrzeb planowania, analiz oraz w sposób umożliwiający sporządzenie sprawozdań finansowych, sprawozdań budżetowych lub innych sprawozdań określonych w odrębnych przepisach obowiązujących jednostkę.</w:t>
      </w:r>
    </w:p>
    <w:p w:rsidR="00B01ECB" w:rsidRPr="0077051B" w:rsidRDefault="00B01ECB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</w:t>
      </w:r>
      <w:r w:rsidR="00FC1415" w:rsidRPr="0077051B">
        <w:rPr>
          <w:rFonts w:ascii="Arial" w:hAnsi="Arial" w:cs="Arial"/>
          <w:b/>
          <w:sz w:val="24"/>
          <w:szCs w:val="24"/>
        </w:rPr>
        <w:t>nta zespołu 4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400</w:t>
      </w:r>
      <w:r w:rsidRPr="0077051B">
        <w:rPr>
          <w:rFonts w:ascii="Arial" w:hAnsi="Arial" w:cs="Arial"/>
          <w:sz w:val="24"/>
          <w:szCs w:val="24"/>
        </w:rPr>
        <w:t xml:space="preserve"> </w:t>
      </w:r>
      <w:r w:rsidR="00FC1415" w:rsidRPr="0077051B">
        <w:rPr>
          <w:rFonts w:ascii="Arial" w:hAnsi="Arial" w:cs="Arial"/>
          <w:sz w:val="24"/>
          <w:szCs w:val="24"/>
        </w:rPr>
        <w:t xml:space="preserve"> </w:t>
      </w:r>
      <w:r w:rsidR="00E7602F" w:rsidRPr="0077051B">
        <w:rPr>
          <w:rFonts w:ascii="Arial" w:hAnsi="Arial" w:cs="Arial"/>
          <w:b/>
          <w:sz w:val="24"/>
          <w:szCs w:val="24"/>
        </w:rPr>
        <w:t>,, Amortyzacja”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</w:t>
      </w:r>
      <w:r w:rsidR="00E7602F" w:rsidRPr="0077051B">
        <w:rPr>
          <w:rFonts w:ascii="Arial" w:hAnsi="Arial" w:cs="Arial"/>
          <w:b/>
          <w:sz w:val="24"/>
          <w:szCs w:val="24"/>
        </w:rPr>
        <w:t>0</w:t>
      </w:r>
      <w:r w:rsidR="000D760F" w:rsidRPr="0077051B">
        <w:rPr>
          <w:rFonts w:ascii="Arial" w:hAnsi="Arial" w:cs="Arial"/>
          <w:b/>
          <w:sz w:val="24"/>
          <w:szCs w:val="24"/>
        </w:rPr>
        <w:t xml:space="preserve"> </w:t>
      </w:r>
      <w:r w:rsidR="000D760F" w:rsidRPr="0077051B">
        <w:rPr>
          <w:rFonts w:ascii="Arial" w:hAnsi="Arial" w:cs="Arial"/>
          <w:sz w:val="24"/>
          <w:szCs w:val="24"/>
        </w:rPr>
        <w:t>służy do ewidencji kosztów amortyzacji od środków trwałych i wartości niematerialnych i prawnych, od których odpisy umorzeniowe są dokonywane stopniowo według stawek amortyzacyjnych.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40</w:t>
      </w:r>
      <w:r w:rsidR="000C7F16" w:rsidRPr="0077051B">
        <w:rPr>
          <w:rFonts w:ascii="Arial" w:hAnsi="Arial" w:cs="Arial"/>
          <w:sz w:val="24"/>
          <w:szCs w:val="24"/>
        </w:rPr>
        <w:t>0</w:t>
      </w:r>
      <w:r w:rsidRPr="0077051B">
        <w:rPr>
          <w:rFonts w:ascii="Arial" w:hAnsi="Arial" w:cs="Arial"/>
          <w:sz w:val="24"/>
          <w:szCs w:val="24"/>
        </w:rPr>
        <w:t xml:space="preserve"> ujmuje się odpisy amortyzacyjne, a na stronie Ma</w:t>
      </w:r>
      <w:r w:rsidR="00E7602F" w:rsidRPr="0077051B">
        <w:rPr>
          <w:rFonts w:ascii="Arial" w:hAnsi="Arial" w:cs="Arial"/>
          <w:sz w:val="24"/>
          <w:szCs w:val="24"/>
        </w:rPr>
        <w:t xml:space="preserve"> ewentualne zmniejszenie odpisów amortyzacyjnych oraz </w:t>
      </w:r>
      <w:r w:rsidRPr="0077051B">
        <w:rPr>
          <w:rFonts w:ascii="Arial" w:hAnsi="Arial" w:cs="Arial"/>
          <w:sz w:val="24"/>
          <w:szCs w:val="24"/>
        </w:rPr>
        <w:t xml:space="preserve"> przeniesienie kosztów amortyzacji na wynik finansowy.</w:t>
      </w:r>
    </w:p>
    <w:p w:rsidR="000D760F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>Konto 400</w:t>
      </w:r>
      <w:r w:rsidR="000D760F" w:rsidRPr="0077051B">
        <w:rPr>
          <w:rFonts w:ascii="Arial" w:hAnsi="Arial" w:cs="Arial"/>
          <w:sz w:val="24"/>
          <w:szCs w:val="24"/>
        </w:rPr>
        <w:t xml:space="preserve"> może wykazywać w ciągu roku obrotowego saldo Wn, które wyraża wysokość poniesionych kosztów amortyzacji. Saldo kont</w:t>
      </w:r>
      <w:r w:rsidRPr="0077051B">
        <w:rPr>
          <w:rFonts w:ascii="Arial" w:hAnsi="Arial" w:cs="Arial"/>
          <w:sz w:val="24"/>
          <w:szCs w:val="24"/>
        </w:rPr>
        <w:t>a 400</w:t>
      </w:r>
      <w:r w:rsidR="000D760F" w:rsidRPr="0077051B">
        <w:rPr>
          <w:rFonts w:ascii="Arial" w:hAnsi="Arial" w:cs="Arial"/>
          <w:sz w:val="24"/>
          <w:szCs w:val="24"/>
        </w:rPr>
        <w:t xml:space="preserve"> przenosi się w końcu roku obrotowego na konto 860.</w:t>
      </w:r>
    </w:p>
    <w:p w:rsidR="000C7F16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634699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634699" w:rsidRPr="0077051B" w:rsidRDefault="00634699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C7F16" w:rsidRPr="0077051B" w:rsidRDefault="000C7F16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401 ,,</w:t>
      </w:r>
      <w:r w:rsidR="00E7602F" w:rsidRPr="0077051B">
        <w:rPr>
          <w:rFonts w:ascii="Arial" w:hAnsi="Arial" w:cs="Arial"/>
          <w:b/>
          <w:sz w:val="24"/>
          <w:szCs w:val="24"/>
        </w:rPr>
        <w:t xml:space="preserve"> Zużycie materiałów i energii”</w:t>
      </w:r>
    </w:p>
    <w:p w:rsidR="000C7F16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Koto 401 służy  do ewidencji zużycia materiałów i energii na działalność podstawową .</w:t>
      </w:r>
    </w:p>
    <w:p w:rsidR="00E7602F" w:rsidRPr="0077051B" w:rsidRDefault="00E7602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Koszty ujmowane na tym kocie  powinny obejmować w szczególności koszty kwalifikowane w paragrafach:</w:t>
      </w:r>
    </w:p>
    <w:p w:rsidR="00E7602F" w:rsidRPr="0077051B" w:rsidRDefault="00E7602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- 421 – Zakup materiałów i wyposażenia</w:t>
      </w:r>
    </w:p>
    <w:p w:rsidR="00E7602F" w:rsidRPr="0077051B" w:rsidRDefault="00E7602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- 426 – zakup energii</w:t>
      </w:r>
    </w:p>
    <w:p w:rsidR="000C7F16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401 ewidencjonuje się koszty</w:t>
      </w:r>
      <w:r w:rsidR="0077051B">
        <w:rPr>
          <w:rFonts w:ascii="Arial" w:hAnsi="Arial" w:cs="Arial"/>
          <w:sz w:val="24"/>
          <w:szCs w:val="24"/>
        </w:rPr>
        <w:t xml:space="preserve"> poniesione na zużycie materiał</w:t>
      </w:r>
      <w:r w:rsidRPr="0077051B">
        <w:rPr>
          <w:rFonts w:ascii="Arial" w:hAnsi="Arial" w:cs="Arial"/>
          <w:sz w:val="24"/>
          <w:szCs w:val="24"/>
        </w:rPr>
        <w:t>ów i energii. Na stronie Ma  tego konta ewidencjonuje się :</w:t>
      </w:r>
    </w:p>
    <w:p w:rsidR="000C7F16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zmniejszenia poniesionych kosztów na zużycie materiałów i energii ,</w:t>
      </w:r>
    </w:p>
    <w:p w:rsidR="000C7F16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przeniesienie na dzień bilansowy salda poniesionych w ciągu roku kosztów zużycia materiałów i energii</w:t>
      </w:r>
    </w:p>
    <w:p w:rsidR="000C7F16" w:rsidRPr="0077051B" w:rsidRDefault="000C7F16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konto 860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3A4489" w:rsidRPr="0077051B" w:rsidRDefault="003A4489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402 ,, Usługi obce,,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402 słuzy do ewidencji kosztów usług wykonanych na rzecz działalności podstawowej MOPS.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tego konta ujmuje się koszty poniesione na zakup usług obcych , na stronie Ma  ujmuje się  zmniejszenia poniesionych kosztów.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dzień bilansowy wartość poniesionych  kosztów usług obcych przenosi się na konto 860 .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Koszty ujmowane na tym kocie  powinny obejmować w szczególności koszty kwalifikowane w paragrafach :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- 427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>zakup usług remontowych 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- 428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>koszty usług zdrowotnych 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</w:t>
      </w:r>
      <w:r w:rsidR="00E7602F" w:rsidRPr="0077051B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430</w:t>
      </w:r>
      <w:r w:rsidR="00E7602F" w:rsidRPr="0077051B">
        <w:rPr>
          <w:rFonts w:ascii="Arial" w:hAnsi="Arial" w:cs="Arial"/>
          <w:sz w:val="24"/>
          <w:szCs w:val="24"/>
        </w:rPr>
        <w:t xml:space="preserve"> - z</w:t>
      </w:r>
      <w:r w:rsidRPr="0077051B">
        <w:rPr>
          <w:rFonts w:ascii="Arial" w:hAnsi="Arial" w:cs="Arial"/>
          <w:sz w:val="24"/>
          <w:szCs w:val="24"/>
        </w:rPr>
        <w:t>akup pozostałych usług 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- 436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>opłaty za usługi telekomunikacji komórkowej 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- 437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 xml:space="preserve"> opłaty za usługi telefonii stacjonarnej ,</w:t>
      </w:r>
    </w:p>
    <w:p w:rsidR="003A4489" w:rsidRPr="0077051B" w:rsidRDefault="003A4489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3A4489" w:rsidRPr="0077051B" w:rsidRDefault="003A4489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403 , Podatki i opłaty ,,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Konto 403 służy do ewidencji</w:t>
      </w:r>
      <w:r w:rsidR="00255A3C">
        <w:rPr>
          <w:rFonts w:ascii="Arial" w:hAnsi="Arial" w:cs="Arial"/>
          <w:sz w:val="24"/>
          <w:szCs w:val="24"/>
        </w:rPr>
        <w:t xml:space="preserve"> w szczególności </w:t>
      </w:r>
      <w:r w:rsidRPr="0077051B">
        <w:rPr>
          <w:rFonts w:ascii="Arial" w:hAnsi="Arial" w:cs="Arial"/>
          <w:sz w:val="24"/>
          <w:szCs w:val="24"/>
        </w:rPr>
        <w:t xml:space="preserve"> kosztów</w:t>
      </w:r>
      <w:r w:rsidR="00255A3C">
        <w:rPr>
          <w:rFonts w:ascii="Arial" w:hAnsi="Arial" w:cs="Arial"/>
          <w:sz w:val="24"/>
          <w:szCs w:val="24"/>
        </w:rPr>
        <w:t xml:space="preserve"> z tytułu podatku akcyzowego </w:t>
      </w:r>
      <w:r w:rsidRPr="0077051B">
        <w:rPr>
          <w:rFonts w:ascii="Arial" w:hAnsi="Arial" w:cs="Arial"/>
          <w:sz w:val="24"/>
          <w:szCs w:val="24"/>
        </w:rPr>
        <w:t xml:space="preserve"> podatków</w:t>
      </w:r>
      <w:r w:rsidR="00255A3C">
        <w:rPr>
          <w:rFonts w:ascii="Arial" w:hAnsi="Arial" w:cs="Arial"/>
          <w:sz w:val="24"/>
          <w:szCs w:val="24"/>
        </w:rPr>
        <w:t xml:space="preserve"> od nieruchomości</w:t>
      </w:r>
      <w:r w:rsidRPr="0077051B">
        <w:rPr>
          <w:rFonts w:ascii="Arial" w:hAnsi="Arial" w:cs="Arial"/>
          <w:sz w:val="24"/>
          <w:szCs w:val="24"/>
        </w:rPr>
        <w:t xml:space="preserve"> i </w:t>
      </w:r>
      <w:r w:rsidR="00255A3C">
        <w:rPr>
          <w:rFonts w:ascii="Arial" w:hAnsi="Arial" w:cs="Arial"/>
          <w:sz w:val="24"/>
          <w:szCs w:val="24"/>
        </w:rPr>
        <w:t xml:space="preserve"> podatku od środków transportu ,podatku</w:t>
      </w:r>
      <w:r w:rsidR="001F11AA">
        <w:rPr>
          <w:rFonts w:ascii="Arial" w:hAnsi="Arial" w:cs="Arial"/>
          <w:sz w:val="24"/>
          <w:szCs w:val="24"/>
        </w:rPr>
        <w:t xml:space="preserve"> od czynności cywilnoprawnych ,oraz </w:t>
      </w:r>
      <w:r w:rsidRPr="0077051B">
        <w:rPr>
          <w:rFonts w:ascii="Arial" w:hAnsi="Arial" w:cs="Arial"/>
          <w:sz w:val="24"/>
          <w:szCs w:val="24"/>
        </w:rPr>
        <w:t>o</w:t>
      </w:r>
      <w:r w:rsidR="001F11AA">
        <w:rPr>
          <w:rFonts w:ascii="Arial" w:hAnsi="Arial" w:cs="Arial"/>
          <w:sz w:val="24"/>
          <w:szCs w:val="24"/>
        </w:rPr>
        <w:t>płat  o charakterze podatkowym  a także : opłat ; notarialnej ,skarbowej , administracyjnej oraz składek i wpłat do organizacji międzynarodowych.</w:t>
      </w:r>
    </w:p>
    <w:p w:rsidR="003A4489" w:rsidRPr="0077051B" w:rsidRDefault="003A4489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 xml:space="preserve">Na stronie Wn konta ujmuje się </w:t>
      </w:r>
      <w:r w:rsidR="001F11AA">
        <w:rPr>
          <w:rFonts w:ascii="Arial" w:hAnsi="Arial" w:cs="Arial"/>
          <w:sz w:val="24"/>
          <w:szCs w:val="24"/>
        </w:rPr>
        <w:t xml:space="preserve"> poniesione koszty z w/w tytułów</w:t>
      </w:r>
      <w:r w:rsidRPr="0077051B">
        <w:rPr>
          <w:rFonts w:ascii="Arial" w:hAnsi="Arial" w:cs="Arial"/>
          <w:sz w:val="24"/>
          <w:szCs w:val="24"/>
        </w:rPr>
        <w:t xml:space="preserve">, na stronie Ma  konta 403 </w:t>
      </w:r>
      <w:r w:rsidR="001F11AA">
        <w:rPr>
          <w:rFonts w:ascii="Arial" w:hAnsi="Arial" w:cs="Arial"/>
          <w:sz w:val="24"/>
          <w:szCs w:val="24"/>
        </w:rPr>
        <w:t xml:space="preserve">zmniejszenia </w:t>
      </w:r>
      <w:r w:rsidR="00717BD3" w:rsidRPr="0077051B">
        <w:rPr>
          <w:rFonts w:ascii="Arial" w:hAnsi="Arial" w:cs="Arial"/>
          <w:sz w:val="24"/>
          <w:szCs w:val="24"/>
        </w:rPr>
        <w:t xml:space="preserve"> poniesi</w:t>
      </w:r>
      <w:r w:rsidR="001F11AA">
        <w:rPr>
          <w:rFonts w:ascii="Arial" w:hAnsi="Arial" w:cs="Arial"/>
          <w:sz w:val="24"/>
          <w:szCs w:val="24"/>
        </w:rPr>
        <w:t xml:space="preserve">onych  kosztów </w:t>
      </w:r>
      <w:r w:rsidR="000B2511">
        <w:rPr>
          <w:rFonts w:ascii="Arial" w:hAnsi="Arial" w:cs="Arial"/>
          <w:sz w:val="24"/>
          <w:szCs w:val="24"/>
        </w:rPr>
        <w:t>oraz na dzień</w:t>
      </w:r>
      <w:r w:rsidR="001F11AA">
        <w:rPr>
          <w:rFonts w:ascii="Arial" w:hAnsi="Arial" w:cs="Arial"/>
          <w:sz w:val="24"/>
          <w:szCs w:val="24"/>
        </w:rPr>
        <w:t xml:space="preserve"> bilansowy</w:t>
      </w:r>
      <w:r w:rsidR="000B2511">
        <w:rPr>
          <w:rFonts w:ascii="Arial" w:hAnsi="Arial" w:cs="Arial"/>
          <w:sz w:val="24"/>
          <w:szCs w:val="24"/>
        </w:rPr>
        <w:t xml:space="preserve"> – przeniesienie kosztów z tego tytułu na konto 860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dzień bilansowy  poniesione koszty przenosi się na konto 860.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Koszty ewidencjonowane na tym koncie obejmują koszty kwalifikowane w paragrafach :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- 443 – opłata </w:t>
      </w:r>
      <w:r w:rsidR="00F457B4">
        <w:rPr>
          <w:rFonts w:ascii="Arial" w:hAnsi="Arial" w:cs="Arial"/>
          <w:sz w:val="24"/>
          <w:szCs w:val="24"/>
        </w:rPr>
        <w:t>za ubezpieczenia majątkowe itp.</w:t>
      </w:r>
      <w:r w:rsidR="007169A7" w:rsidRPr="0077051B">
        <w:rPr>
          <w:rFonts w:ascii="Arial" w:hAnsi="Arial" w:cs="Arial"/>
          <w:sz w:val="24"/>
          <w:szCs w:val="24"/>
        </w:rPr>
        <w:t xml:space="preserve">  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717BD3" w:rsidRPr="0077051B" w:rsidRDefault="00717BD3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</w:t>
      </w:r>
      <w:r w:rsidR="003161A7" w:rsidRPr="0077051B">
        <w:rPr>
          <w:rFonts w:ascii="Arial" w:hAnsi="Arial" w:cs="Arial"/>
          <w:b/>
          <w:sz w:val="24"/>
          <w:szCs w:val="24"/>
        </w:rPr>
        <w:t>Konto 404 ,, Wynagrodzenia”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Konto 404 służy do ewidencji kosztów działalności podstawowej , z tytułu wynagrodzeń  z pracownikami i  innymi osobami fizycznymi zatrudnionymi na podstawie umowy o pracę, umowy zlecenia i umowy o dzieło.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  ewidencjonuje się kwotę wynagrodzenia brutto należnego pracownikom  i innym osobom fizycznym .Na stronie Ma księguje się korekty uprzednio ujętych kosztów działalności wynagrodzeń,</w:t>
      </w:r>
    </w:p>
    <w:p w:rsidR="00717BD3" w:rsidRPr="0077051B" w:rsidRDefault="00717BD3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koniec roku koszty wynagrodzeń przenosi się na konto 860.</w:t>
      </w:r>
    </w:p>
    <w:p w:rsidR="00717BD3" w:rsidRPr="0077051B" w:rsidRDefault="00D13CC0" w:rsidP="0064634B">
      <w:pPr>
        <w:spacing w:line="276" w:lineRule="auto"/>
        <w:rPr>
          <w:rStyle w:val="Odwoanieprzypisukocowego"/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Koszty księgowane na koncie 404 obejmują paragrafy :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</w:t>
      </w:r>
      <w:r w:rsidR="00E7602F" w:rsidRPr="0077051B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401</w:t>
      </w:r>
      <w:r w:rsidR="00E7602F" w:rsidRPr="0077051B">
        <w:rPr>
          <w:rFonts w:ascii="Arial" w:hAnsi="Arial" w:cs="Arial"/>
          <w:sz w:val="24"/>
          <w:szCs w:val="24"/>
        </w:rPr>
        <w:t xml:space="preserve"> -</w:t>
      </w:r>
      <w:r w:rsidRPr="0077051B">
        <w:rPr>
          <w:rFonts w:ascii="Arial" w:hAnsi="Arial" w:cs="Arial"/>
          <w:sz w:val="24"/>
          <w:szCs w:val="24"/>
        </w:rPr>
        <w:t xml:space="preserve">  wynagrodzenia osobowe pracowników ,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</w:t>
      </w:r>
      <w:r w:rsidR="00E7602F" w:rsidRPr="0077051B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404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 xml:space="preserve">  dodatkowe wynagrodzenie roczne ,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- 417</w:t>
      </w:r>
      <w:r w:rsidR="00E7602F" w:rsidRPr="0077051B">
        <w:rPr>
          <w:rFonts w:ascii="Arial" w:hAnsi="Arial" w:cs="Arial"/>
          <w:sz w:val="24"/>
          <w:szCs w:val="24"/>
        </w:rPr>
        <w:t xml:space="preserve"> - </w:t>
      </w:r>
      <w:r w:rsidRPr="0077051B">
        <w:rPr>
          <w:rFonts w:ascii="Arial" w:hAnsi="Arial" w:cs="Arial"/>
          <w:sz w:val="24"/>
          <w:szCs w:val="24"/>
        </w:rPr>
        <w:t xml:space="preserve"> wynagrodzenia bezosobowe ,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D13CC0" w:rsidRPr="0077051B" w:rsidRDefault="00D13CC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405 ,, Ubezpieczenia</w:t>
      </w:r>
      <w:r w:rsidR="003161A7" w:rsidRPr="0077051B">
        <w:rPr>
          <w:rFonts w:ascii="Arial" w:hAnsi="Arial" w:cs="Arial"/>
          <w:b/>
          <w:sz w:val="24"/>
          <w:szCs w:val="24"/>
        </w:rPr>
        <w:t xml:space="preserve"> społeczne i inne świadczenia”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405 służy do ewidencji kosztów działalności podstawowej z tytułu ubezpieczeń społecznych i funduszu pracy  na rzecz pracowników i osób fizycznych zatrudnionych na podstawie umowy o dzieło i umowy zlecenia .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ewidencjonowane są koszty z tytułu ubezpieczeń społecznych.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tego konta ujmuje się zmniejszenia kosztów z tytułu ubezpieczeń społecznych i  funduszu pracy.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dzień bilansowy koszty z tytułu ubezpieczeń społecznych przenosi się na wynik finansowy konto 860.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Koszty księgowane na koncie 405 obejmują paragrafy :</w:t>
      </w:r>
    </w:p>
    <w:p w:rsidR="00D13CC0" w:rsidRPr="0077051B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- 411 –</w:t>
      </w:r>
      <w:r w:rsidR="003161A7" w:rsidRPr="0077051B">
        <w:rPr>
          <w:rFonts w:ascii="Arial" w:hAnsi="Arial" w:cs="Arial"/>
          <w:sz w:val="24"/>
          <w:szCs w:val="24"/>
        </w:rPr>
        <w:t xml:space="preserve"> </w:t>
      </w:r>
      <w:r w:rsidRPr="0077051B">
        <w:rPr>
          <w:rFonts w:ascii="Arial" w:hAnsi="Arial" w:cs="Arial"/>
          <w:sz w:val="24"/>
          <w:szCs w:val="24"/>
        </w:rPr>
        <w:t>składki na ubezpieczenia społeczne  ,</w:t>
      </w:r>
    </w:p>
    <w:p w:rsidR="00D13CC0" w:rsidRDefault="00D13CC0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-</w:t>
      </w:r>
      <w:r w:rsidR="003161A7" w:rsidRPr="0077051B">
        <w:rPr>
          <w:rFonts w:ascii="Arial" w:hAnsi="Arial" w:cs="Arial"/>
          <w:sz w:val="24"/>
          <w:szCs w:val="24"/>
        </w:rPr>
        <w:t xml:space="preserve"> </w:t>
      </w:r>
      <w:r w:rsidR="007169A7" w:rsidRPr="0077051B">
        <w:rPr>
          <w:rFonts w:ascii="Arial" w:hAnsi="Arial" w:cs="Arial"/>
          <w:sz w:val="24"/>
          <w:szCs w:val="24"/>
        </w:rPr>
        <w:t>412</w:t>
      </w:r>
      <w:r w:rsidR="003161A7" w:rsidRPr="0077051B">
        <w:rPr>
          <w:rFonts w:ascii="Arial" w:hAnsi="Arial" w:cs="Arial"/>
          <w:sz w:val="24"/>
          <w:szCs w:val="24"/>
        </w:rPr>
        <w:t xml:space="preserve"> - </w:t>
      </w:r>
      <w:r w:rsidR="007169A7" w:rsidRPr="0077051B">
        <w:rPr>
          <w:rFonts w:ascii="Arial" w:hAnsi="Arial" w:cs="Arial"/>
          <w:sz w:val="24"/>
          <w:szCs w:val="24"/>
        </w:rPr>
        <w:t xml:space="preserve"> składki na fundusz pracy,</w:t>
      </w:r>
    </w:p>
    <w:p w:rsidR="0077051B" w:rsidRPr="0077051B" w:rsidRDefault="0077051B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7169A7" w:rsidRPr="0077051B" w:rsidRDefault="007169A7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D13CC0" w:rsidRPr="0077051B" w:rsidRDefault="00D13CC0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409 ,, Pozostałe koszty rodzajo</w:t>
      </w:r>
      <w:r w:rsidR="007169A7" w:rsidRPr="0077051B">
        <w:rPr>
          <w:rFonts w:ascii="Arial" w:hAnsi="Arial" w:cs="Arial"/>
          <w:b/>
          <w:sz w:val="24"/>
          <w:szCs w:val="24"/>
        </w:rPr>
        <w:t>we</w:t>
      </w:r>
    </w:p>
    <w:p w:rsidR="007169A7" w:rsidRPr="0077051B" w:rsidRDefault="007169A7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409 służy do ewidencji kosztów działalności podstawowej, które nie zostały zakwalifikowane do ewidencji na kontach 400-405.</w:t>
      </w:r>
    </w:p>
    <w:p w:rsidR="007169A7" w:rsidRPr="0077051B" w:rsidRDefault="0046765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409 ujmuje się</w:t>
      </w:r>
      <w:r w:rsidR="007169A7" w:rsidRPr="0077051B">
        <w:rPr>
          <w:rFonts w:ascii="Arial" w:hAnsi="Arial" w:cs="Arial"/>
          <w:sz w:val="24"/>
          <w:szCs w:val="24"/>
        </w:rPr>
        <w:t xml:space="preserve"> mię</w:t>
      </w:r>
      <w:r w:rsidRPr="0077051B">
        <w:rPr>
          <w:rFonts w:ascii="Arial" w:hAnsi="Arial" w:cs="Arial"/>
          <w:sz w:val="24"/>
          <w:szCs w:val="24"/>
        </w:rPr>
        <w:t>dzy innymi zwroty wydatków na koszty ubezpieczeń majątkowych i osobowych , odprawy z tytułu wypadków przy pracy ,u</w:t>
      </w:r>
      <w:r w:rsidR="007169A7" w:rsidRPr="0077051B">
        <w:rPr>
          <w:rFonts w:ascii="Arial" w:hAnsi="Arial" w:cs="Arial"/>
          <w:sz w:val="24"/>
          <w:szCs w:val="24"/>
        </w:rPr>
        <w:t>żywanie samochodów prywatnych pracowników do zadań służbowych, koszty  podróży służbowych ,</w:t>
      </w:r>
      <w:r w:rsidRPr="0077051B">
        <w:rPr>
          <w:rFonts w:ascii="Arial" w:hAnsi="Arial" w:cs="Arial"/>
          <w:sz w:val="24"/>
          <w:szCs w:val="24"/>
        </w:rPr>
        <w:t xml:space="preserve">koszty świadczeń społecznych itp. </w:t>
      </w:r>
    </w:p>
    <w:p w:rsidR="0046765F" w:rsidRPr="0077051B" w:rsidRDefault="0046765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ujmuje się zmniejszenia w/w  kosztów.</w:t>
      </w:r>
    </w:p>
    <w:p w:rsidR="00B73A0C" w:rsidRPr="0077051B" w:rsidRDefault="00B73A0C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 xml:space="preserve"> Saldo konta 409 przenosi się na koniec roku obrotowego na konto 860.</w:t>
      </w:r>
    </w:p>
    <w:p w:rsidR="0046765F" w:rsidRPr="0077051B" w:rsidRDefault="0046765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koncie  ujmowane są koszty zgodnie z klasyfikacją budżetową :</w:t>
      </w:r>
    </w:p>
    <w:p w:rsidR="004274FD" w:rsidRPr="0077051B" w:rsidRDefault="004274FD" w:rsidP="0064634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- 433 - </w:t>
      </w:r>
      <w:r w:rsidR="000876B6" w:rsidRPr="0077051B">
        <w:rPr>
          <w:rFonts w:ascii="Arial" w:hAnsi="Arial" w:cs="Arial"/>
          <w:sz w:val="24"/>
          <w:szCs w:val="24"/>
        </w:rPr>
        <w:t>Zakup usług przez jednostki samorządu terytorialnego od innych jednostek samorządu  terytorialnego</w:t>
      </w:r>
    </w:p>
    <w:p w:rsidR="0046765F" w:rsidRPr="0077051B" w:rsidRDefault="0046765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- 441</w:t>
      </w:r>
      <w:r w:rsidR="00451BA0" w:rsidRPr="0077051B">
        <w:rPr>
          <w:rFonts w:ascii="Arial" w:hAnsi="Arial" w:cs="Arial"/>
          <w:sz w:val="24"/>
          <w:szCs w:val="24"/>
        </w:rPr>
        <w:t xml:space="preserve"> </w:t>
      </w:r>
      <w:r w:rsidR="000876B6" w:rsidRPr="0077051B">
        <w:rPr>
          <w:rFonts w:ascii="Arial" w:hAnsi="Arial" w:cs="Arial"/>
          <w:sz w:val="24"/>
          <w:szCs w:val="24"/>
        </w:rPr>
        <w:t>–</w:t>
      </w:r>
      <w:r w:rsidRPr="0077051B">
        <w:rPr>
          <w:rFonts w:ascii="Arial" w:hAnsi="Arial" w:cs="Arial"/>
          <w:sz w:val="24"/>
          <w:szCs w:val="24"/>
        </w:rPr>
        <w:t xml:space="preserve"> </w:t>
      </w:r>
      <w:r w:rsidR="000876B6" w:rsidRPr="0077051B">
        <w:rPr>
          <w:rFonts w:ascii="Arial" w:hAnsi="Arial" w:cs="Arial"/>
          <w:sz w:val="24"/>
          <w:szCs w:val="24"/>
        </w:rPr>
        <w:t>podróże służbowe krajowe</w:t>
      </w:r>
      <w:r w:rsidRPr="0077051B">
        <w:rPr>
          <w:rFonts w:ascii="Arial" w:hAnsi="Arial" w:cs="Arial"/>
          <w:sz w:val="24"/>
          <w:szCs w:val="24"/>
        </w:rPr>
        <w:t xml:space="preserve"> ,</w:t>
      </w:r>
    </w:p>
    <w:p w:rsidR="000876B6" w:rsidRDefault="0046765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- 470</w:t>
      </w:r>
      <w:r w:rsidR="00451BA0" w:rsidRPr="0077051B">
        <w:rPr>
          <w:rFonts w:ascii="Arial" w:hAnsi="Arial" w:cs="Arial"/>
          <w:sz w:val="24"/>
          <w:szCs w:val="24"/>
        </w:rPr>
        <w:t xml:space="preserve"> -</w:t>
      </w:r>
      <w:r w:rsidRPr="0077051B">
        <w:rPr>
          <w:rFonts w:ascii="Arial" w:hAnsi="Arial" w:cs="Arial"/>
          <w:sz w:val="24"/>
          <w:szCs w:val="24"/>
        </w:rPr>
        <w:t xml:space="preserve"> </w:t>
      </w:r>
      <w:r w:rsidR="000876B6" w:rsidRPr="0077051B">
        <w:rPr>
          <w:rFonts w:ascii="Arial" w:hAnsi="Arial" w:cs="Arial"/>
          <w:sz w:val="24"/>
          <w:szCs w:val="24"/>
        </w:rPr>
        <w:t>Szkolenia pracowników niebędących członkami korpusu służby cywilnej</w:t>
      </w:r>
    </w:p>
    <w:p w:rsidR="009365D7" w:rsidRPr="0077051B" w:rsidRDefault="009365D7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.</w:t>
      </w:r>
    </w:p>
    <w:p w:rsidR="000C7F16" w:rsidRPr="0077051B" w:rsidRDefault="00BF637E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490 – „Rozliczenia kosztów”</w:t>
      </w:r>
    </w:p>
    <w:p w:rsidR="00420559" w:rsidRPr="0077051B" w:rsidRDefault="00420559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490 służy do ujmowania:</w:t>
      </w:r>
    </w:p>
    <w:p w:rsidR="00420559" w:rsidRPr="0077051B" w:rsidRDefault="00420559" w:rsidP="0064634B">
      <w:pPr>
        <w:pStyle w:val="Style64"/>
        <w:widowControl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kosztów rozliczanych w czasie, które w okresie poniesienia ujęto na kontach zespołu 4, a ich wartość została odłożona do rozliczenia w późniejszym okresie oraz rozliczanie tych kosztów w następnym okresie - w korespondencji z kontem 640 „Rozliczenia międzyokreso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softHyphen/>
        <w:t>we kosztów",</w:t>
      </w:r>
    </w:p>
    <w:p w:rsidR="00420559" w:rsidRPr="0077051B" w:rsidRDefault="00420559" w:rsidP="0064634B">
      <w:pPr>
        <w:pStyle w:val="Style64"/>
        <w:widowControl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utworzonych rezerw na przyszłe koszty (Wn 490 Ma 640) oraz ich rozwiązanie w następnym okresie po poniesieniu kosztów (Wn 640 Ma 490).</w:t>
      </w:r>
    </w:p>
    <w:p w:rsidR="00420559" w:rsidRPr="0077051B" w:rsidRDefault="00420559" w:rsidP="0064634B">
      <w:pPr>
        <w:pStyle w:val="Style11"/>
        <w:widowControl/>
        <w:spacing w:line="276" w:lineRule="auto"/>
        <w:ind w:right="72"/>
        <w:jc w:val="left"/>
        <w:rPr>
          <w:rFonts w:ascii="Arial" w:hAnsi="Arial" w:cs="Arial"/>
        </w:rPr>
      </w:pPr>
    </w:p>
    <w:p w:rsidR="00420559" w:rsidRPr="0077051B" w:rsidRDefault="00420559" w:rsidP="0064634B">
      <w:pPr>
        <w:pStyle w:val="Style11"/>
        <w:widowControl/>
        <w:spacing w:line="276" w:lineRule="auto"/>
        <w:ind w:right="72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Pod datą 31 grudnia saldo konta 490 przenosi się na konto 860 jako korektę kosztów poniesionych w okresie (zmiany stanu na koniec roku obrotowego w stosunku do stanu na początek roku).</w:t>
      </w:r>
    </w:p>
    <w:p w:rsidR="00BF637E" w:rsidRPr="0077051B" w:rsidRDefault="00BF637E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77489B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640 – „Rozliczenia międzyokresowe kosztów”</w:t>
      </w:r>
    </w:p>
    <w:p w:rsidR="0077489B" w:rsidRPr="0077051B" w:rsidRDefault="0077489B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640 służy do ewidencji kosztów przyszłych okresów (rozliczenia czynne) oraz rezerw na wydatki przyszłych okresów (rozliczenia bierne).</w:t>
      </w:r>
    </w:p>
    <w:p w:rsidR="0077489B" w:rsidRPr="0077051B" w:rsidRDefault="0077489B" w:rsidP="0064634B">
      <w:pPr>
        <w:pStyle w:val="Style11"/>
        <w:widowControl/>
        <w:spacing w:line="240" w:lineRule="auto"/>
        <w:jc w:val="left"/>
        <w:rPr>
          <w:rFonts w:ascii="Arial" w:hAnsi="Arial" w:cs="Arial"/>
        </w:rPr>
      </w:pPr>
    </w:p>
    <w:p w:rsidR="0077489B" w:rsidRPr="0077051B" w:rsidRDefault="0077489B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Wn konta 640 ujmuje się koszty proste i złożone poniesione w okresie sprawozdawczym, a dotyczące przyszłych okresów, oraz wydatki poniesione w okresie sprawozdawczym, na które w poprzednich okresach utworzono rezerwy.</w:t>
      </w:r>
    </w:p>
    <w:p w:rsidR="0077489B" w:rsidRPr="0077051B" w:rsidRDefault="0077489B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Ma konta 640 ujmuje się utworzenie rezerwy na wydatki przyszłych okresów oraz zaliczenie do kosztów okresu sprawozdawczego kosztów poniesionych w okresach poprzednich.</w:t>
      </w:r>
    </w:p>
    <w:p w:rsidR="0077489B" w:rsidRPr="0077051B" w:rsidRDefault="0077489B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Ewidencja szczegółowa prowadzona do konta 640 powinna umożliwić ustalenie:</w:t>
      </w:r>
    </w:p>
    <w:p w:rsidR="0077489B" w:rsidRPr="0077051B" w:rsidRDefault="0077489B" w:rsidP="0064634B">
      <w:pPr>
        <w:pStyle w:val="Style64"/>
        <w:widowControl/>
        <w:numPr>
          <w:ilvl w:val="0"/>
          <w:numId w:val="23"/>
        </w:numPr>
        <w:tabs>
          <w:tab w:val="left" w:pos="1087"/>
        </w:tabs>
        <w:spacing w:line="240" w:lineRule="auto"/>
        <w:ind w:left="742" w:firstLine="0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wysokości tych kosztów zakupu, które podlegają rozliczeniu w czasie,</w:t>
      </w:r>
    </w:p>
    <w:p w:rsidR="0077489B" w:rsidRPr="0077051B" w:rsidRDefault="0077489B" w:rsidP="0064634B">
      <w:pPr>
        <w:pStyle w:val="Style64"/>
        <w:widowControl/>
        <w:numPr>
          <w:ilvl w:val="0"/>
          <w:numId w:val="24"/>
        </w:numPr>
        <w:tabs>
          <w:tab w:val="left" w:pos="1087"/>
        </w:tabs>
        <w:spacing w:line="276" w:lineRule="auto"/>
        <w:ind w:left="1087" w:hanging="34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wysokości innych rozliczeń międzyokresowych kosztów z dalszym podziałem według ich tytułów.</w:t>
      </w:r>
    </w:p>
    <w:p w:rsidR="0077489B" w:rsidRPr="0077051B" w:rsidRDefault="0077489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640 może wykazywać dwa salda:</w:t>
      </w:r>
    </w:p>
    <w:p w:rsidR="0077489B" w:rsidRPr="0077051B" w:rsidRDefault="0077489B" w:rsidP="0064634B">
      <w:pPr>
        <w:pStyle w:val="Style76"/>
        <w:widowControl/>
        <w:numPr>
          <w:ilvl w:val="0"/>
          <w:numId w:val="25"/>
        </w:numPr>
        <w:tabs>
          <w:tab w:val="left" w:pos="871"/>
        </w:tabs>
        <w:spacing w:line="276" w:lineRule="auto"/>
        <w:ind w:firstLine="0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saldo Wn wyraża koszty przyszłych okresów i jest ujmowane w aktywach bilansowych,</w:t>
      </w:r>
    </w:p>
    <w:p w:rsidR="0077489B" w:rsidRPr="0077051B" w:rsidRDefault="0077489B" w:rsidP="0064634B">
      <w:pPr>
        <w:pStyle w:val="Style64"/>
        <w:widowControl/>
        <w:numPr>
          <w:ilvl w:val="0"/>
          <w:numId w:val="25"/>
        </w:numPr>
        <w:tabs>
          <w:tab w:val="left" w:pos="871"/>
        </w:tabs>
        <w:spacing w:line="276" w:lineRule="auto"/>
        <w:ind w:firstLine="0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saldo Ma wyraża rezerwy na wydatki przyszłych okresów.</w:t>
      </w:r>
    </w:p>
    <w:p w:rsidR="0077489B" w:rsidRPr="0077051B" w:rsidRDefault="0077489B" w:rsidP="0064634B">
      <w:pPr>
        <w:pStyle w:val="Style65"/>
        <w:widowControl/>
        <w:spacing w:line="276" w:lineRule="auto"/>
        <w:ind w:left="446"/>
        <w:rPr>
          <w:rFonts w:ascii="Arial" w:hAnsi="Arial" w:cs="Arial"/>
          <w:color w:val="FF0000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7 „</w:t>
      </w:r>
      <w:r w:rsidR="00B73A0C" w:rsidRPr="0077051B">
        <w:rPr>
          <w:rFonts w:ascii="Arial" w:hAnsi="Arial" w:cs="Arial"/>
          <w:b/>
          <w:sz w:val="24"/>
          <w:szCs w:val="24"/>
        </w:rPr>
        <w:t xml:space="preserve">Przychody , dochody i koszty </w:t>
      </w:r>
      <w:r w:rsidRPr="0077051B">
        <w:rPr>
          <w:rFonts w:ascii="Arial" w:hAnsi="Arial" w:cs="Arial"/>
          <w:b/>
          <w:sz w:val="24"/>
          <w:szCs w:val="24"/>
        </w:rPr>
        <w:t xml:space="preserve">”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Konta zespołu 7 „Przychody i koszty ich uzyskania” służą do ewidencji przychodów i kosz</w:t>
      </w:r>
      <w:r w:rsidR="00B73A0C" w:rsidRPr="0077051B">
        <w:rPr>
          <w:rFonts w:ascii="Arial" w:hAnsi="Arial" w:cs="Arial"/>
          <w:sz w:val="24"/>
          <w:szCs w:val="24"/>
        </w:rPr>
        <w:t xml:space="preserve">tów ich uzyskania </w:t>
      </w:r>
      <w:r w:rsidRPr="0077051B">
        <w:rPr>
          <w:rFonts w:ascii="Arial" w:hAnsi="Arial" w:cs="Arial"/>
          <w:sz w:val="24"/>
          <w:szCs w:val="24"/>
        </w:rPr>
        <w:t xml:space="preserve"> kosztów operacji finansowych oraz pozostałych przychodów i kosztów operacyjnych.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lastRenderedPageBreak/>
        <w:t>Ewidencję szczegółową prowadzi się według pozycji planu finansowego oraz stosownie do potrzeb planowania, analizy i sprawozdawczości.</w:t>
      </w:r>
    </w:p>
    <w:p w:rsidR="000D760F" w:rsidRPr="0077051B" w:rsidRDefault="000D760F" w:rsidP="0064634B">
      <w:pPr>
        <w:pStyle w:val="Nagwek1"/>
        <w:spacing w:line="276" w:lineRule="auto"/>
        <w:jc w:val="left"/>
        <w:rPr>
          <w:rFonts w:ascii="Arial" w:hAnsi="Arial" w:cs="Arial"/>
        </w:rPr>
      </w:pPr>
    </w:p>
    <w:p w:rsidR="000D760F" w:rsidRPr="0077051B" w:rsidRDefault="00B73A0C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 720 ,, Przychody z tytułu dochodów budżetowych</w:t>
      </w:r>
      <w:r w:rsidR="00B67A29" w:rsidRPr="0077051B">
        <w:rPr>
          <w:rFonts w:ascii="Arial" w:hAnsi="Arial" w:cs="Arial"/>
          <w:sz w:val="24"/>
          <w:szCs w:val="24"/>
        </w:rPr>
        <w:t>”</w:t>
      </w:r>
    </w:p>
    <w:p w:rsidR="00B73A0C" w:rsidRPr="0077051B" w:rsidRDefault="00B73A0C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720 służy do ewidencji przychodó</w:t>
      </w:r>
      <w:r w:rsidR="00896287" w:rsidRPr="0077051B">
        <w:rPr>
          <w:rFonts w:ascii="Arial" w:hAnsi="Arial" w:cs="Arial"/>
          <w:sz w:val="24"/>
          <w:szCs w:val="24"/>
        </w:rPr>
        <w:t>w z tytułu dochodów budżetowych, związanych bezpośrednio z podstawową działalnością jednostki</w:t>
      </w:r>
    </w:p>
    <w:p w:rsidR="00B73A0C" w:rsidRPr="0077051B" w:rsidRDefault="00B73A0C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Winien </w:t>
      </w:r>
      <w:r w:rsidR="00D318FF" w:rsidRPr="0077051B">
        <w:rPr>
          <w:rFonts w:ascii="Arial" w:hAnsi="Arial" w:cs="Arial"/>
          <w:sz w:val="24"/>
          <w:szCs w:val="24"/>
        </w:rPr>
        <w:t>konta 720 ujmuje się odpisy z tytułu dochodów budżetowych a na stronie Ma  przychody z tytułu dochodów budżetowych .</w:t>
      </w:r>
    </w:p>
    <w:p w:rsidR="00D318FF" w:rsidRPr="0077051B" w:rsidRDefault="00D318F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Ewidencja szczegółowa do tego konta  </w:t>
      </w:r>
      <w:r w:rsidR="00063AA4" w:rsidRPr="0077051B">
        <w:rPr>
          <w:rFonts w:ascii="Arial" w:hAnsi="Arial" w:cs="Arial"/>
          <w:sz w:val="24"/>
          <w:szCs w:val="24"/>
        </w:rPr>
        <w:t xml:space="preserve">winna </w:t>
      </w:r>
      <w:r w:rsidR="00896287" w:rsidRPr="0077051B">
        <w:rPr>
          <w:rFonts w:ascii="Arial" w:hAnsi="Arial" w:cs="Arial"/>
          <w:sz w:val="24"/>
          <w:szCs w:val="24"/>
        </w:rPr>
        <w:t xml:space="preserve">zapewniś wyodrębnienie przychodów z tytułu dochodów budżetowych według pozycji planu finansowego. </w:t>
      </w:r>
    </w:p>
    <w:p w:rsidR="00063AA4" w:rsidRPr="0077051B" w:rsidRDefault="00063AA4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koniec roku obrotowego  saldo konta 720 przenosi się na stronę Ma konta 860.</w:t>
      </w:r>
    </w:p>
    <w:p w:rsidR="00063AA4" w:rsidRPr="0077051B" w:rsidRDefault="00063AA4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koniec roku konto 720 nie wykazuje salda 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 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750 „Przychody finansowe”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67802" w:rsidRPr="0077051B" w:rsidRDefault="00967802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750 służy do ewidencji przychodów finansowych.</w:t>
      </w:r>
    </w:p>
    <w:p w:rsidR="00967802" w:rsidRPr="0077051B" w:rsidRDefault="00967802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Ma konta 750 ujmuje się przychody z tytułu operacji finansowych, w szczególności odsetki bankowe oraz odsetki za zwłokę w zapłacie należności, zmniejszenie odpisu aktualizującego wartość należności z tytułu operacji finansowych w związku z ustaniem przyczyn dokonania tego odpisu oraz przeniesienie należności długoterminowych z tytułu operacji finansowych na należności z tytułu operacji finansowych dotyczące roku bieżącego.</w:t>
      </w:r>
    </w:p>
    <w:p w:rsidR="00967802" w:rsidRPr="0077051B" w:rsidRDefault="00967802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Wn konta 750 ujmuje się odpisy należności z tytułu operacji finansowych oraz przeniesienie należności z tytułu operacji finansowych dotyczących roku bieżącego na należności z tytułu operacji finansowych długoterminowe.</w:t>
      </w:r>
    </w:p>
    <w:p w:rsidR="00967802" w:rsidRPr="0077051B" w:rsidRDefault="00967802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Ewidencja szczegółowa prowadzona do konta 750 powinna zapewnić wyodrębnienie przychodów finansowych z tytułu należn</w:t>
      </w:r>
      <w:r w:rsidR="00B67A29" w:rsidRPr="0077051B">
        <w:rPr>
          <w:rStyle w:val="FontStyle338"/>
          <w:rFonts w:ascii="Arial" w:hAnsi="Arial" w:cs="Arial"/>
          <w:color w:val="auto"/>
          <w:sz w:val="24"/>
          <w:szCs w:val="24"/>
        </w:rPr>
        <w:t>ych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 jednostce odset</w:t>
      </w:r>
      <w:r w:rsidR="00B67A29" w:rsidRPr="0077051B">
        <w:rPr>
          <w:rStyle w:val="FontStyle338"/>
          <w:rFonts w:ascii="Arial" w:hAnsi="Arial" w:cs="Arial"/>
          <w:color w:val="auto"/>
          <w:sz w:val="24"/>
          <w:szCs w:val="24"/>
        </w:rPr>
        <w:t>ek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.</w:t>
      </w:r>
    </w:p>
    <w:p w:rsidR="00967802" w:rsidRPr="0077051B" w:rsidRDefault="00967802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końcu roku obrotowego przenosi się przychody finansowe na stronę Ma konta 860 (Wn konto 750).</w:t>
      </w:r>
    </w:p>
    <w:p w:rsidR="00063AA4" w:rsidRPr="0077051B" w:rsidRDefault="00967802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koniec roku konto 750 nie wykazuje salda</w:t>
      </w:r>
    </w:p>
    <w:p w:rsidR="00063AA4" w:rsidRPr="0077051B" w:rsidRDefault="007966D6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751 ,, Koszty Finansowe”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751 służy do ewidencji kosztów finansowych</w:t>
      </w:r>
    </w:p>
    <w:p w:rsidR="00BC19B4" w:rsidRPr="0077051B" w:rsidRDefault="00BC19B4" w:rsidP="0064634B">
      <w:pPr>
        <w:pStyle w:val="Style11"/>
        <w:widowControl/>
        <w:spacing w:line="276" w:lineRule="auto"/>
        <w:ind w:right="3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stronie Wn konta 751 ujmuje się w szczególności odsetki za zwłokę w zapłacie zobowiązań, odpisy aktualizujące wartość należności z tytułu operacji finansowych, oraz odpisane, przedawnione, umorzone i nieściągalne należności z tytułu operacji finansowych (jeżeli nie są pokrywane z uprzednio dokonanego odpisu aktualizującego).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Ewidencja szczegółowa prowadzona do konta 751 powinna zapewnić wyodrębnienie w zakresie kosztów operacji finansowych - naliczone odsetki za zwłokę od zobowiązań.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końcu roku obrotowego przenosi się koszty operacji finansowych na stronę Wn konta 860.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koniec roku konto 751 nie wykazuje salda.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lastRenderedPageBreak/>
        <w:t xml:space="preserve">Konto 760 „Pozostałe przychody </w:t>
      </w:r>
      <w:r w:rsidR="00BC19B4" w:rsidRPr="0077051B">
        <w:rPr>
          <w:rFonts w:ascii="Arial" w:hAnsi="Arial" w:cs="Arial"/>
          <w:b/>
          <w:sz w:val="24"/>
          <w:szCs w:val="24"/>
        </w:rPr>
        <w:t>operacyjne</w:t>
      </w:r>
      <w:r w:rsidRPr="0077051B">
        <w:rPr>
          <w:rFonts w:ascii="Arial" w:hAnsi="Arial" w:cs="Arial"/>
          <w:b/>
          <w:sz w:val="24"/>
          <w:szCs w:val="24"/>
        </w:rPr>
        <w:t>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760 służy do ewidencji przychodów niezwiązanych bezpośrednio z podstawową działalnością jednostki, w tym wszelkich innych przychodów niż podlegające ewidencji na kontach: 720, 750.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szczególności na stronie Ma konta 760 ujmuje się:</w:t>
      </w:r>
    </w:p>
    <w:p w:rsidR="00BC19B4" w:rsidRPr="0077051B" w:rsidRDefault="00BC19B4" w:rsidP="0064634B">
      <w:pPr>
        <w:pStyle w:val="Style64"/>
        <w:widowControl/>
        <w:numPr>
          <w:ilvl w:val="0"/>
          <w:numId w:val="22"/>
        </w:numPr>
        <w:tabs>
          <w:tab w:val="left" w:pos="886"/>
        </w:tabs>
        <w:spacing w:line="276" w:lineRule="auto"/>
        <w:ind w:left="886" w:hanging="331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przychody ze sprzedaży materiałów w wartości cen zakupu lub nabycia materiałów;</w:t>
      </w:r>
    </w:p>
    <w:p w:rsidR="00BC19B4" w:rsidRPr="0077051B" w:rsidRDefault="00BC19B4" w:rsidP="0064634B">
      <w:pPr>
        <w:pStyle w:val="Style64"/>
        <w:widowControl/>
        <w:numPr>
          <w:ilvl w:val="0"/>
          <w:numId w:val="22"/>
        </w:numPr>
        <w:tabs>
          <w:tab w:val="left" w:pos="886"/>
        </w:tabs>
        <w:spacing w:line="276" w:lineRule="auto"/>
        <w:ind w:left="886" w:hanging="331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przychody ze sprzedaży środków trwałych, wartości niematerialnych i prawnych oraz środków trwałych w budowie;</w:t>
      </w:r>
    </w:p>
    <w:p w:rsidR="00BC19B4" w:rsidRPr="0077051B" w:rsidRDefault="00BC19B4" w:rsidP="0064634B">
      <w:pPr>
        <w:pStyle w:val="Style64"/>
        <w:widowControl/>
        <w:numPr>
          <w:ilvl w:val="0"/>
          <w:numId w:val="22"/>
        </w:numPr>
        <w:tabs>
          <w:tab w:val="left" w:pos="886"/>
        </w:tabs>
        <w:spacing w:line="276" w:lineRule="auto"/>
        <w:ind w:left="886" w:hanging="331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odpisane przedawnione zobowiązania, otrzymane odszkodowania, kary, nieodpłatnie otrzymane, w tym w drodze darowizny, aktywa umarzane jednorazowo, rzeczowe aktywa obrotowe;</w:t>
      </w:r>
    </w:p>
    <w:p w:rsidR="00BC19B4" w:rsidRPr="0077051B" w:rsidRDefault="00BC19B4" w:rsidP="0064634B">
      <w:pPr>
        <w:pStyle w:val="Style64"/>
        <w:widowControl/>
        <w:numPr>
          <w:ilvl w:val="0"/>
          <w:numId w:val="22"/>
        </w:numPr>
        <w:tabs>
          <w:tab w:val="left" w:pos="886"/>
        </w:tabs>
        <w:spacing w:line="276" w:lineRule="auto"/>
        <w:ind w:left="886" w:hanging="331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zmniejszenie odpisu aktualizującego należności, w związku z ustaniem przyczyn dokonania tego odpisu;</w:t>
      </w:r>
    </w:p>
    <w:p w:rsidR="00BC19B4" w:rsidRPr="0077051B" w:rsidRDefault="00BC19B4" w:rsidP="0064634B">
      <w:pPr>
        <w:pStyle w:val="Style64"/>
        <w:widowControl/>
        <w:numPr>
          <w:ilvl w:val="0"/>
          <w:numId w:val="22"/>
        </w:numPr>
        <w:tabs>
          <w:tab w:val="left" w:pos="886"/>
        </w:tabs>
        <w:spacing w:line="276" w:lineRule="auto"/>
        <w:ind w:left="886" w:hanging="331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zmniejszenie stanu produktów w korespondencji ze stroną Wn konta 490.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Fonts w:ascii="Arial" w:hAnsi="Arial" w:cs="Arial"/>
        </w:rPr>
      </w:pP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końcu roku obrotowego wartość pozostałych przychodów operacyjnych przenosi się na stronę Ma konta 860.</w:t>
      </w:r>
    </w:p>
    <w:p w:rsidR="00BC19B4" w:rsidRPr="0077051B" w:rsidRDefault="00BC19B4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Na koniec roku konto 760 nie wykazuje salda.</w:t>
      </w:r>
    </w:p>
    <w:p w:rsidR="00BC19B4" w:rsidRPr="0077051B" w:rsidRDefault="00BC19B4" w:rsidP="0064634B">
      <w:pPr>
        <w:pStyle w:val="Style65"/>
        <w:widowControl/>
        <w:tabs>
          <w:tab w:val="left" w:pos="878"/>
        </w:tabs>
        <w:spacing w:line="276" w:lineRule="auto"/>
        <w:ind w:left="374"/>
        <w:rPr>
          <w:rStyle w:val="FontStyle337"/>
          <w:rFonts w:ascii="Arial" w:hAnsi="Arial" w:cs="Arial"/>
          <w:color w:val="auto"/>
          <w:sz w:val="24"/>
          <w:szCs w:val="24"/>
        </w:rPr>
      </w:pPr>
    </w:p>
    <w:p w:rsidR="00C82AFB" w:rsidRPr="0077051B" w:rsidRDefault="00C82AFB" w:rsidP="0064634B">
      <w:pPr>
        <w:pStyle w:val="Style65"/>
        <w:widowControl/>
        <w:tabs>
          <w:tab w:val="left" w:pos="878"/>
        </w:tabs>
        <w:spacing w:line="276" w:lineRule="auto"/>
        <w:ind w:left="374"/>
        <w:rPr>
          <w:rStyle w:val="FontStyle337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7"/>
          <w:rFonts w:ascii="Arial" w:hAnsi="Arial" w:cs="Arial"/>
          <w:color w:val="auto"/>
          <w:sz w:val="24"/>
          <w:szCs w:val="24"/>
        </w:rPr>
        <w:t>Konto 761 - „Pozostałe koszty operacyjne"</w:t>
      </w:r>
    </w:p>
    <w:p w:rsidR="00C82AFB" w:rsidRPr="0077051B" w:rsidRDefault="00C82AFB" w:rsidP="0064634B">
      <w:pPr>
        <w:pStyle w:val="Style11"/>
        <w:widowControl/>
        <w:spacing w:line="276" w:lineRule="auto"/>
        <w:ind w:right="43"/>
        <w:jc w:val="left"/>
        <w:rPr>
          <w:rFonts w:ascii="Arial" w:hAnsi="Arial" w:cs="Arial"/>
        </w:rPr>
      </w:pPr>
    </w:p>
    <w:p w:rsidR="00C82AFB" w:rsidRPr="0077051B" w:rsidRDefault="00C82AFB" w:rsidP="0064634B">
      <w:pPr>
        <w:pStyle w:val="Style11"/>
        <w:widowControl/>
        <w:spacing w:line="276" w:lineRule="auto"/>
        <w:ind w:right="43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761 służy do ewidencji kosztów niezwiązanych bezpośrednio z podstawową działalnością jednostki.</w:t>
      </w:r>
    </w:p>
    <w:p w:rsidR="00C82AFB" w:rsidRPr="0077051B" w:rsidRDefault="00C82AF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W szczególności na stronie Wn konta 761 ujmuje się:</w:t>
      </w:r>
    </w:p>
    <w:p w:rsidR="00C82AFB" w:rsidRPr="0077051B" w:rsidRDefault="00C82AFB" w:rsidP="0064634B">
      <w:pPr>
        <w:pStyle w:val="Style64"/>
        <w:widowControl/>
        <w:numPr>
          <w:ilvl w:val="0"/>
          <w:numId w:val="21"/>
        </w:numPr>
        <w:tabs>
          <w:tab w:val="left" w:pos="914"/>
        </w:tabs>
        <w:spacing w:line="276" w:lineRule="auto"/>
        <w:ind w:left="914" w:hanging="295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koszty osiągnięcia pozostałych przychodów w wartości cen zakupu lub nabycia materiałów;</w:t>
      </w:r>
    </w:p>
    <w:p w:rsidR="00C82AFB" w:rsidRPr="0077051B" w:rsidRDefault="00C82AFB" w:rsidP="0064634B">
      <w:pPr>
        <w:pStyle w:val="Style64"/>
        <w:widowControl/>
        <w:numPr>
          <w:ilvl w:val="0"/>
          <w:numId w:val="21"/>
        </w:numPr>
        <w:tabs>
          <w:tab w:val="left" w:pos="914"/>
        </w:tabs>
        <w:spacing w:line="276" w:lineRule="auto"/>
        <w:ind w:left="914" w:hanging="295"/>
        <w:jc w:val="left"/>
        <w:rPr>
          <w:rStyle w:val="FontStyle338"/>
          <w:rFonts w:ascii="Arial" w:hAnsi="Arial" w:cs="Arial"/>
          <w:color w:val="000000" w:themeColor="text1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000000" w:themeColor="text1"/>
          <w:sz w:val="24"/>
          <w:szCs w:val="24"/>
        </w:rPr>
        <w:t>kary, odpisane przedawnione, umorzone i nieściągalne należności (jeżeli nie są pokrywane z uprzednio dokonanego odpisu aktualizującego), odpisy aktualizujące od należności, koszty postępowania spornego i egzekucyjnego oraz nieodpłatnie przekazane rzeczowe aktywa obrotowe.</w:t>
      </w:r>
    </w:p>
    <w:p w:rsidR="00C82AFB" w:rsidRPr="0077051B" w:rsidRDefault="00C82AF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000000" w:themeColor="text1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000000" w:themeColor="text1"/>
          <w:sz w:val="24"/>
          <w:szCs w:val="24"/>
        </w:rPr>
        <w:t>W końcu roku obrotowego pozostałe koszty operacyjne przenosi się na stronę Wn konta 860.</w:t>
      </w:r>
    </w:p>
    <w:p w:rsidR="00C82AFB" w:rsidRPr="0077051B" w:rsidRDefault="00C82AFB" w:rsidP="0064634B">
      <w:pPr>
        <w:pStyle w:val="Style11"/>
        <w:widowControl/>
        <w:spacing w:line="276" w:lineRule="auto"/>
        <w:jc w:val="left"/>
        <w:rPr>
          <w:rStyle w:val="FontStyle338"/>
          <w:rFonts w:ascii="Arial" w:hAnsi="Arial" w:cs="Arial"/>
          <w:color w:val="000000" w:themeColor="text1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000000" w:themeColor="text1"/>
          <w:sz w:val="24"/>
          <w:szCs w:val="24"/>
        </w:rPr>
        <w:t>Na koniec roku konto 761 nie wykazuje salda.</w:t>
      </w:r>
    </w:p>
    <w:p w:rsidR="00063AA4" w:rsidRPr="0077051B" w:rsidRDefault="00063AA4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Zespół 8 „Fundusze, rezerwy i wynik finansowy”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Konta zespołu 8 służą do ewidencji funduszy, wyniku finansowego i jego rozliczenia oraz dotacji z budżetu.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800 „Fundusz jednostki”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lastRenderedPageBreak/>
        <w:t xml:space="preserve">Konto 800 </w:t>
      </w:r>
      <w:r w:rsidRPr="0077051B">
        <w:rPr>
          <w:rFonts w:ascii="Arial" w:hAnsi="Arial" w:cs="Arial"/>
          <w:sz w:val="24"/>
          <w:szCs w:val="24"/>
        </w:rPr>
        <w:t xml:space="preserve">służy do ewidencji równowartości </w:t>
      </w:r>
      <w:r w:rsidR="000B2511">
        <w:rPr>
          <w:rFonts w:ascii="Arial" w:hAnsi="Arial" w:cs="Arial"/>
          <w:sz w:val="24"/>
          <w:szCs w:val="24"/>
        </w:rPr>
        <w:t>aktywów trwałych i obrotowych</w:t>
      </w:r>
      <w:r w:rsidRPr="0077051B">
        <w:rPr>
          <w:rFonts w:ascii="Arial" w:hAnsi="Arial" w:cs="Arial"/>
          <w:sz w:val="24"/>
          <w:szCs w:val="24"/>
        </w:rPr>
        <w:t xml:space="preserve"> jednostki i ich zmian.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800</w:t>
      </w:r>
      <w:r w:rsidRPr="0077051B">
        <w:rPr>
          <w:rFonts w:ascii="Arial" w:hAnsi="Arial" w:cs="Arial"/>
          <w:sz w:val="24"/>
          <w:szCs w:val="24"/>
        </w:rPr>
        <w:t xml:space="preserve"> ujmuje się zmniejszenia funduszu, a na stronie </w:t>
      </w:r>
      <w:r w:rsidRPr="0077051B">
        <w:rPr>
          <w:rFonts w:ascii="Arial" w:hAnsi="Arial" w:cs="Arial"/>
          <w:b/>
          <w:sz w:val="24"/>
          <w:szCs w:val="24"/>
        </w:rPr>
        <w:t>Ma konta 800</w:t>
      </w:r>
      <w:r w:rsidRPr="0077051B">
        <w:rPr>
          <w:rFonts w:ascii="Arial" w:hAnsi="Arial" w:cs="Arial"/>
          <w:sz w:val="24"/>
          <w:szCs w:val="24"/>
        </w:rPr>
        <w:t xml:space="preserve"> jego zwiększenia, zgodnie z odrębnymi przepisami regulującymi gospodarkę finansową jednostki.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Wn konta 800</w:t>
      </w:r>
      <w:r w:rsidRPr="0077051B">
        <w:rPr>
          <w:rFonts w:ascii="Arial" w:hAnsi="Arial" w:cs="Arial"/>
          <w:sz w:val="24"/>
          <w:szCs w:val="24"/>
        </w:rPr>
        <w:t xml:space="preserve"> ujmuje się w szczególności:</w:t>
      </w:r>
    </w:p>
    <w:p w:rsidR="000D760F" w:rsidRPr="0077051B" w:rsidRDefault="000D760F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przeksięgowanie, w roku następnym pod datą przyjęcia sprawozdania finansowego, straty bilansowej roku ubiegłego (ujemny wynik finansowy) z konta 860,</w:t>
      </w:r>
    </w:p>
    <w:p w:rsidR="00C82AFB" w:rsidRPr="0077051B" w:rsidRDefault="00C82AFB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przeksięgowanie, pod datą sprawozdania budżetowego,  zrealizowanych dochodów budżetowych z konta 222</w:t>
      </w:r>
    </w:p>
    <w:p w:rsidR="000D760F" w:rsidRDefault="000D760F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przeksięgowanie, w końcu roku obrotowego, dotacji z budżetu i środków budżetowych wykorzystanych na inwestycje z konta 810,</w:t>
      </w:r>
    </w:p>
    <w:p w:rsidR="000B2511" w:rsidRPr="0077051B" w:rsidRDefault="000B2511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różnice z aktualizacji wyceny środków trwałych ,</w:t>
      </w:r>
    </w:p>
    <w:p w:rsidR="000D760F" w:rsidRPr="0077051B" w:rsidRDefault="00C82AFB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wartość sprzedanych, nieodpłatnie przekazanych oraz wniesionych w formie wkładu niepieniężnego (aportu)środków trwałych w budowie</w:t>
      </w:r>
    </w:p>
    <w:p w:rsidR="000D760F" w:rsidRPr="0077051B" w:rsidRDefault="000D760F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różnice z aktualizacji środków trwałych,</w:t>
      </w:r>
    </w:p>
    <w:p w:rsidR="000D760F" w:rsidRDefault="000D760F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wartość </w:t>
      </w:r>
      <w:r w:rsidR="00E51F82" w:rsidRPr="0077051B">
        <w:rPr>
          <w:rFonts w:ascii="Arial" w:hAnsi="Arial" w:cs="Arial"/>
          <w:sz w:val="24"/>
          <w:szCs w:val="24"/>
        </w:rPr>
        <w:t>pasywów przejętych od zlikwidowanych jednostek</w:t>
      </w:r>
      <w:r w:rsidR="003D1FAA" w:rsidRPr="0077051B">
        <w:rPr>
          <w:rFonts w:ascii="Arial" w:hAnsi="Arial" w:cs="Arial"/>
          <w:sz w:val="24"/>
          <w:szCs w:val="24"/>
        </w:rPr>
        <w:t xml:space="preserve"> </w:t>
      </w:r>
    </w:p>
    <w:p w:rsidR="000B2511" w:rsidRDefault="000B2511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pasywów przekazanych w ramach centralnego zaopatrzenia ,</w:t>
      </w:r>
    </w:p>
    <w:p w:rsidR="000B2511" w:rsidRPr="0077051B" w:rsidRDefault="000B2511" w:rsidP="0064634B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odpisów amortyzacyjnych od środków trwałych oraz wartości niematerialnych i prawnych, na sfinansowanie których samorządowy zakład budżetowy otrzymał środki pieniężne, w korespondencji ze stroną Ma konta 760 ,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stronie </w:t>
      </w:r>
      <w:r w:rsidRPr="0077051B">
        <w:rPr>
          <w:rFonts w:ascii="Arial" w:hAnsi="Arial" w:cs="Arial"/>
          <w:b/>
          <w:sz w:val="24"/>
          <w:szCs w:val="24"/>
        </w:rPr>
        <w:t>Ma konta 800</w:t>
      </w:r>
      <w:r w:rsidRPr="0077051B">
        <w:rPr>
          <w:rFonts w:ascii="Arial" w:hAnsi="Arial" w:cs="Arial"/>
          <w:sz w:val="24"/>
          <w:szCs w:val="24"/>
        </w:rPr>
        <w:t xml:space="preserve"> ujmuje się w szczególności:  </w:t>
      </w:r>
    </w:p>
    <w:p w:rsidR="000D760F" w:rsidRPr="0077051B" w:rsidRDefault="000D760F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przeksięgowanie, w roku następnym pod datą przyjęcia sprawozdania finansowego, zysku bilansowego roku ubiegłego (dodatni wynik finansowy) z konta 860,</w:t>
      </w:r>
    </w:p>
    <w:p w:rsidR="00E51F82" w:rsidRPr="0077051B" w:rsidRDefault="00E51F82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przeksięgowanie, pod datą sprawozdania budżetowego, zrealizowanych wydatków budżetowych z konta 223</w:t>
      </w:r>
    </w:p>
    <w:p w:rsidR="000D760F" w:rsidRPr="0077051B" w:rsidRDefault="000D760F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różnice z aktualizacji środków trwałych,</w:t>
      </w:r>
    </w:p>
    <w:p w:rsidR="000D760F" w:rsidRDefault="000D760F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nieodpłatne otrzyman</w:t>
      </w:r>
      <w:r w:rsidR="003D1FAA" w:rsidRPr="0077051B">
        <w:rPr>
          <w:rFonts w:ascii="Arial" w:hAnsi="Arial" w:cs="Arial"/>
          <w:sz w:val="24"/>
          <w:szCs w:val="24"/>
        </w:rPr>
        <w:t xml:space="preserve">ie środków trwałych </w:t>
      </w:r>
      <w:r w:rsidRPr="0077051B">
        <w:rPr>
          <w:rFonts w:ascii="Arial" w:hAnsi="Arial" w:cs="Arial"/>
          <w:sz w:val="24"/>
          <w:szCs w:val="24"/>
        </w:rPr>
        <w:t>,</w:t>
      </w:r>
      <w:r w:rsidR="00E51F82" w:rsidRPr="0077051B">
        <w:rPr>
          <w:rFonts w:ascii="Arial" w:hAnsi="Arial" w:cs="Arial"/>
          <w:sz w:val="24"/>
          <w:szCs w:val="24"/>
        </w:rPr>
        <w:t xml:space="preserve"> wartości niematerialnych i prawnych oraz środków trwałych w budowie</w:t>
      </w:r>
      <w:r w:rsidR="000B2511">
        <w:rPr>
          <w:rFonts w:ascii="Arial" w:hAnsi="Arial" w:cs="Arial"/>
          <w:sz w:val="24"/>
          <w:szCs w:val="24"/>
        </w:rPr>
        <w:t>,</w:t>
      </w:r>
    </w:p>
    <w:p w:rsidR="000B2511" w:rsidRDefault="000B2511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wpływy środków przeznaczonych na finansowanie inwestycji ,</w:t>
      </w:r>
    </w:p>
    <w:p w:rsidR="000B2511" w:rsidRDefault="000B2511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różnice z aktualizacji wyceny środków trwałych ,</w:t>
      </w:r>
    </w:p>
    <w:p w:rsidR="000B2511" w:rsidRPr="0077051B" w:rsidRDefault="000B2511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nieodpłatnie otrzymanie środków trwałych , wartości niematerialnych i prawnych oraz środków trwałych w budowie ,</w:t>
      </w:r>
    </w:p>
    <w:p w:rsidR="0074269E" w:rsidRDefault="0074269E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wartość aktywów przyjętych od zlikwidowanych jednostek</w:t>
      </w:r>
    </w:p>
    <w:p w:rsidR="000B2511" w:rsidRDefault="000B2511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aktywów otrzymanych w ramach centralnego zaopatrzenia ,</w:t>
      </w:r>
    </w:p>
    <w:p w:rsidR="000B2511" w:rsidRDefault="00B1471B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Ewidencja szczegół</w:t>
      </w:r>
      <w:r w:rsidR="000B2511">
        <w:rPr>
          <w:rFonts w:ascii="Arial" w:hAnsi="Arial" w:cs="Arial"/>
          <w:sz w:val="24"/>
          <w:szCs w:val="24"/>
        </w:rPr>
        <w:t>owa prowadzona do konta  800 powinna zapewnić możliwość ustalenia przyczyn zwiększeń i zmniejszeń funduszu jednostki .</w:t>
      </w:r>
    </w:p>
    <w:p w:rsidR="00B1471B" w:rsidRPr="0077051B" w:rsidRDefault="00B1471B" w:rsidP="0064634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Saldo konta 800 oznacza stan funduszu jednostki .</w:t>
      </w:r>
    </w:p>
    <w:p w:rsidR="00E464BC" w:rsidRDefault="00E464BC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B1471B" w:rsidRPr="0077051B" w:rsidRDefault="00B1471B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F31E7D" w:rsidRPr="0077051B" w:rsidRDefault="00F31E7D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lastRenderedPageBreak/>
        <w:t>Konto 851 „Zakładowy fundusz świadczeń socjalnych”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851 </w:t>
      </w:r>
      <w:r w:rsidRPr="0077051B">
        <w:rPr>
          <w:rFonts w:ascii="Arial" w:hAnsi="Arial" w:cs="Arial"/>
          <w:sz w:val="24"/>
          <w:szCs w:val="24"/>
        </w:rPr>
        <w:t>służy do ewidencji stanu oraz zwiększeń i zmniejszeń zakładowego funduszu świadczeń socjalnych.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Środki pieniężne tego funduszu, wyodrębnione na specjalnym rachunku bankowym, ujmuje się na koncie 135 „Rachunki środków funduszy specjalnego przeznaczenia”. Pozostałe środki majątkowe ujmuje się na odpowiednich kontach dzia</w:t>
      </w:r>
      <w:r w:rsidR="0077051B">
        <w:rPr>
          <w:rFonts w:ascii="Arial" w:hAnsi="Arial" w:cs="Arial"/>
          <w:sz w:val="24"/>
          <w:szCs w:val="24"/>
        </w:rPr>
        <w:t xml:space="preserve">łalności podstawowej jednostki </w:t>
      </w:r>
      <w:r w:rsidRPr="0077051B">
        <w:rPr>
          <w:rFonts w:ascii="Arial" w:hAnsi="Arial" w:cs="Arial"/>
          <w:sz w:val="24"/>
          <w:szCs w:val="24"/>
        </w:rPr>
        <w:t>(z wyjątkiem kosztów i przychodów podlegających sfinansowaniu z funduszu).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do konta 851 powinna pozwolić na wyodrębnienie:</w:t>
      </w:r>
    </w:p>
    <w:p w:rsidR="000D760F" w:rsidRPr="0077051B" w:rsidRDefault="000D760F" w:rsidP="0064634B">
      <w:pPr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stanu zwiększeń i zmniejszeń zakładowego funduszu świadczeń socjalnych, z podziałem według Źródeł zwiększeń i kierunków zmniejszeń,</w:t>
      </w:r>
    </w:p>
    <w:p w:rsidR="000D760F" w:rsidRPr="0077051B" w:rsidRDefault="000D760F" w:rsidP="0064634B">
      <w:pPr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wysokości poniesionych kosztów i wysokości uzyskanych przychodów przez poszczególne rodzaje działalności socjalnej.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Ma konta 851 wyraża stan zakładoweg</w:t>
      </w:r>
      <w:r w:rsidR="004D0D28" w:rsidRPr="0077051B">
        <w:rPr>
          <w:rFonts w:ascii="Arial" w:hAnsi="Arial" w:cs="Arial"/>
          <w:sz w:val="24"/>
          <w:szCs w:val="24"/>
        </w:rPr>
        <w:t>o funduszu świadczeń socjalnych będącego w dyspozycji jednostki.</w:t>
      </w:r>
    </w:p>
    <w:p w:rsidR="000D760F" w:rsidRPr="0077051B" w:rsidRDefault="000D760F" w:rsidP="0064634B">
      <w:pPr>
        <w:spacing w:line="276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Konto 860 „ wynik finansowy”</w:t>
      </w:r>
    </w:p>
    <w:p w:rsidR="000D760F" w:rsidRPr="0077051B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 xml:space="preserve">Konto 860 </w:t>
      </w:r>
      <w:r w:rsidRPr="0077051B">
        <w:rPr>
          <w:rFonts w:ascii="Arial" w:hAnsi="Arial" w:cs="Arial"/>
          <w:sz w:val="24"/>
          <w:szCs w:val="24"/>
        </w:rPr>
        <w:t>służy do ustalan</w:t>
      </w:r>
      <w:r w:rsidR="007D3BF4" w:rsidRPr="0077051B">
        <w:rPr>
          <w:rFonts w:ascii="Arial" w:hAnsi="Arial" w:cs="Arial"/>
          <w:sz w:val="24"/>
          <w:szCs w:val="24"/>
        </w:rPr>
        <w:t>ia wyniku finansowego jednostki.</w:t>
      </w:r>
    </w:p>
    <w:p w:rsidR="000D760F" w:rsidRPr="0077051B" w:rsidRDefault="000D760F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 końcu roku obrotowego na stronie Wn konta 860 ujmuje się sumę:</w:t>
      </w:r>
    </w:p>
    <w:p w:rsidR="000D760F" w:rsidRPr="0077051B" w:rsidRDefault="000D760F" w:rsidP="00F457B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poniesionych kosztów</w:t>
      </w:r>
      <w:r w:rsidR="003E5071" w:rsidRPr="0077051B">
        <w:rPr>
          <w:rFonts w:ascii="Arial" w:hAnsi="Arial" w:cs="Arial"/>
          <w:sz w:val="24"/>
          <w:szCs w:val="24"/>
        </w:rPr>
        <w:t xml:space="preserve"> w korespondencji z kontami </w:t>
      </w:r>
      <w:r w:rsidR="00C72F7F" w:rsidRPr="0077051B">
        <w:rPr>
          <w:rFonts w:ascii="Arial" w:hAnsi="Arial" w:cs="Arial"/>
          <w:sz w:val="24"/>
          <w:szCs w:val="24"/>
        </w:rPr>
        <w:t>zespołu „4”</w:t>
      </w:r>
      <w:r w:rsidR="003E5071" w:rsidRPr="0077051B">
        <w:rPr>
          <w:rFonts w:ascii="Arial" w:hAnsi="Arial" w:cs="Arial"/>
          <w:sz w:val="24"/>
          <w:szCs w:val="24"/>
        </w:rPr>
        <w:t xml:space="preserve">  </w:t>
      </w:r>
      <w:r w:rsidRPr="0077051B">
        <w:rPr>
          <w:rFonts w:ascii="Arial" w:hAnsi="Arial" w:cs="Arial"/>
          <w:sz w:val="24"/>
          <w:szCs w:val="24"/>
        </w:rPr>
        <w:t>,</w:t>
      </w:r>
    </w:p>
    <w:p w:rsidR="00C72F7F" w:rsidRPr="0077051B" w:rsidRDefault="00C72F7F" w:rsidP="00F457B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zmniejszenie stanu produktów oraz rozliczeń międzyokresowych w stosunku do stanu na początek roku, w korespondencji z kontem 490</w:t>
      </w:r>
    </w:p>
    <w:p w:rsidR="000D760F" w:rsidRPr="0077051B" w:rsidRDefault="000D760F" w:rsidP="00F457B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wartość sprzedanych materiałów w cenie zakupu lub nabycia w korespondencji z kontem 760,</w:t>
      </w:r>
    </w:p>
    <w:p w:rsidR="000D760F" w:rsidRPr="0077051B" w:rsidRDefault="000D760F" w:rsidP="00F457B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kosztów operacji finansowych, w korespondencji z kontem 75</w:t>
      </w:r>
      <w:r w:rsidR="00C72F7F" w:rsidRPr="0077051B">
        <w:rPr>
          <w:rFonts w:ascii="Arial" w:hAnsi="Arial" w:cs="Arial"/>
          <w:sz w:val="24"/>
          <w:szCs w:val="24"/>
        </w:rPr>
        <w:t>1</w:t>
      </w:r>
      <w:r w:rsidRPr="0077051B">
        <w:rPr>
          <w:rFonts w:ascii="Arial" w:hAnsi="Arial" w:cs="Arial"/>
          <w:sz w:val="24"/>
          <w:szCs w:val="24"/>
        </w:rPr>
        <w:t>, oraz pozostałych kosztów operacyjnych, w korespondencji z kontem 76</w:t>
      </w:r>
      <w:r w:rsidR="00C72F7F" w:rsidRPr="0077051B">
        <w:rPr>
          <w:rFonts w:ascii="Arial" w:hAnsi="Arial" w:cs="Arial"/>
          <w:sz w:val="24"/>
          <w:szCs w:val="24"/>
        </w:rPr>
        <w:t>1</w:t>
      </w:r>
      <w:r w:rsidRPr="0077051B">
        <w:rPr>
          <w:rFonts w:ascii="Arial" w:hAnsi="Arial" w:cs="Arial"/>
          <w:sz w:val="24"/>
          <w:szCs w:val="24"/>
        </w:rPr>
        <w:t>.</w:t>
      </w:r>
    </w:p>
    <w:p w:rsidR="000D760F" w:rsidRPr="0077051B" w:rsidRDefault="000D760F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konta 860 ujmuje się w końcu roku obrotowego sumę:</w:t>
      </w:r>
    </w:p>
    <w:p w:rsidR="000D760F" w:rsidRPr="0077051B" w:rsidRDefault="000D760F" w:rsidP="00F457B4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uzyskanych przychodów, w korespondencji z poszczególnymi kontami zespołu 7,</w:t>
      </w:r>
    </w:p>
    <w:p w:rsidR="000D760F" w:rsidRPr="0077051B" w:rsidRDefault="00C72F7F" w:rsidP="00F457B4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zwiększeń stanu produktów oraz rozliczeń międzyokresowych w stosunku do stanu na początek roku, w korespondencji z kontem 490</w:t>
      </w:r>
    </w:p>
    <w:p w:rsidR="000D760F" w:rsidRDefault="000D760F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Saldo konta 860 wyraża na koniec roku obrotowego wynik finansowy jednostki, saldo Wn – stratę netto, saldo Ma – zysk netto. Saldo przenoszone jest w roku następnym pod datą przyjęcia sprawozdania finansowego na konto 800.</w:t>
      </w:r>
    </w:p>
    <w:p w:rsidR="0077051B" w:rsidRDefault="0077051B" w:rsidP="00F457B4">
      <w:pPr>
        <w:rPr>
          <w:rFonts w:ascii="Arial" w:hAnsi="Arial" w:cs="Arial"/>
          <w:sz w:val="24"/>
          <w:szCs w:val="24"/>
        </w:rPr>
      </w:pPr>
    </w:p>
    <w:p w:rsidR="00B1471B" w:rsidRPr="0077051B" w:rsidRDefault="00B1471B" w:rsidP="00F457B4">
      <w:pPr>
        <w:rPr>
          <w:rFonts w:ascii="Arial" w:hAnsi="Arial" w:cs="Arial"/>
          <w:sz w:val="24"/>
          <w:szCs w:val="24"/>
        </w:rPr>
      </w:pPr>
    </w:p>
    <w:p w:rsidR="0003167E" w:rsidRPr="0077051B" w:rsidRDefault="0003167E" w:rsidP="00F457B4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Konta pozabilansowe</w:t>
      </w:r>
    </w:p>
    <w:p w:rsidR="0003167E" w:rsidRPr="0077051B" w:rsidRDefault="00163AA3" w:rsidP="00F457B4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1)  Konto 920 „Obce środki trwałe”</w:t>
      </w:r>
    </w:p>
    <w:p w:rsidR="00163AA3" w:rsidRPr="0077051B" w:rsidRDefault="00163AA3" w:rsidP="00F457B4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920 służy do prowadzenia ewidencji obcych środków trwałych używanych na podstawie umów najmu, dzierżawy czy bezpłatnego użyczenia.</w:t>
      </w:r>
    </w:p>
    <w:p w:rsidR="00163AA3" w:rsidRPr="0077051B" w:rsidRDefault="00163AA3" w:rsidP="0064634B">
      <w:pPr>
        <w:pStyle w:val="Style11"/>
        <w:widowControl/>
        <w:spacing w:line="240" w:lineRule="auto"/>
        <w:ind w:right="36"/>
        <w:jc w:val="left"/>
        <w:rPr>
          <w:rFonts w:ascii="Arial" w:hAnsi="Arial" w:cs="Arial"/>
        </w:rPr>
      </w:pPr>
    </w:p>
    <w:p w:rsidR="00163AA3" w:rsidRPr="0077051B" w:rsidRDefault="00163AA3" w:rsidP="0064634B">
      <w:pPr>
        <w:pStyle w:val="Style11"/>
        <w:widowControl/>
        <w:spacing w:line="240" w:lineRule="auto"/>
        <w:ind w:right="36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 xml:space="preserve">Na stronie Ma ujmuje się operacje dotyczące otrzymania środków trwałych i pozostałych środków trwałych w użytkowanie na podstawie zawartych przez jednostkę umów użyczenia, najmu, dzierżawy itp. oraz ze znakiem „minus” ujmuje </w:t>
      </w: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lastRenderedPageBreak/>
        <w:t>się zwrot środków trwałych i pozostałych środków trwałych właścicielowi po wygaśnięciu umów.</w:t>
      </w:r>
    </w:p>
    <w:p w:rsidR="00163AA3" w:rsidRPr="0077051B" w:rsidRDefault="00163AA3" w:rsidP="0064634B">
      <w:pPr>
        <w:pStyle w:val="Style11"/>
        <w:widowControl/>
        <w:spacing w:line="240" w:lineRule="auto"/>
        <w:jc w:val="left"/>
        <w:rPr>
          <w:rFonts w:ascii="Arial" w:hAnsi="Arial" w:cs="Arial"/>
        </w:rPr>
      </w:pPr>
    </w:p>
    <w:p w:rsidR="00163AA3" w:rsidRPr="0077051B" w:rsidRDefault="00163AA3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auto"/>
          <w:sz w:val="24"/>
          <w:szCs w:val="24"/>
        </w:rPr>
      </w:pPr>
      <w:r w:rsidRPr="0077051B">
        <w:rPr>
          <w:rStyle w:val="FontStyle338"/>
          <w:rFonts w:ascii="Arial" w:hAnsi="Arial" w:cs="Arial"/>
          <w:color w:val="auto"/>
          <w:sz w:val="24"/>
          <w:szCs w:val="24"/>
        </w:rPr>
        <w:t>Konto 920 wykazuje saldo Ma, które oznacza wartość obcych środków trwałych pozostających na stanie jednostki.</w:t>
      </w:r>
    </w:p>
    <w:p w:rsidR="00163AA3" w:rsidRPr="0077051B" w:rsidRDefault="00163AA3" w:rsidP="0064634B">
      <w:pPr>
        <w:pStyle w:val="Style11"/>
        <w:widowControl/>
        <w:spacing w:line="240" w:lineRule="auto"/>
        <w:jc w:val="left"/>
        <w:rPr>
          <w:rStyle w:val="FontStyle338"/>
          <w:rFonts w:ascii="Arial" w:hAnsi="Arial" w:cs="Arial"/>
          <w:color w:val="FF0000"/>
          <w:sz w:val="24"/>
          <w:szCs w:val="24"/>
        </w:rPr>
      </w:pPr>
    </w:p>
    <w:p w:rsidR="0003167E" w:rsidRPr="0077051B" w:rsidRDefault="00163AA3" w:rsidP="00F457B4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2</w:t>
      </w:r>
      <w:r w:rsidR="0003167E" w:rsidRPr="0077051B">
        <w:rPr>
          <w:rFonts w:ascii="Arial" w:hAnsi="Arial" w:cs="Arial"/>
          <w:b/>
          <w:sz w:val="24"/>
          <w:szCs w:val="24"/>
        </w:rPr>
        <w:t>)   Konto 980 – „Plan finansowy wydatków budżetowych”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980 służy do ewidencji planu finansowego wydatków budżetowych dysponenta środków budżetowych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980 ujmuje się plan finansowy wydatków budżetowych oraz jego korekty.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konta 980 ujmuje się:</w:t>
      </w:r>
    </w:p>
    <w:p w:rsidR="0003167E" w:rsidRPr="0077051B" w:rsidRDefault="0003167E" w:rsidP="00F457B4">
      <w:pPr>
        <w:numPr>
          <w:ilvl w:val="0"/>
          <w:numId w:val="19"/>
        </w:num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równowartość zrealizowanych wydatków budżetowych</w:t>
      </w:r>
    </w:p>
    <w:p w:rsidR="0003167E" w:rsidRPr="0077051B" w:rsidRDefault="0003167E" w:rsidP="00F457B4">
      <w:pPr>
        <w:numPr>
          <w:ilvl w:val="0"/>
          <w:numId w:val="19"/>
        </w:num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wartość planu niewygasających wydatków budżetowych do realizacji w roku następnym</w:t>
      </w:r>
    </w:p>
    <w:p w:rsidR="0003167E" w:rsidRPr="0077051B" w:rsidRDefault="0003167E" w:rsidP="00F457B4">
      <w:pPr>
        <w:numPr>
          <w:ilvl w:val="0"/>
          <w:numId w:val="19"/>
        </w:num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wartość planu niezrealizowanego i wygasłego.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do konta 980 jest prowadzona w szczegółowości planu finansowego wydatków budżetowych.</w:t>
      </w:r>
    </w:p>
    <w:p w:rsidR="0003167E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980 nie wykazuje na koniec roku salda.</w:t>
      </w:r>
    </w:p>
    <w:p w:rsidR="00F457B4" w:rsidRPr="0077051B" w:rsidRDefault="00F457B4" w:rsidP="00F457B4">
      <w:pPr>
        <w:rPr>
          <w:rFonts w:ascii="Arial" w:hAnsi="Arial" w:cs="Arial"/>
          <w:sz w:val="24"/>
          <w:szCs w:val="24"/>
        </w:rPr>
      </w:pPr>
    </w:p>
    <w:p w:rsidR="0003167E" w:rsidRPr="0077051B" w:rsidRDefault="0003167E" w:rsidP="00F457B4">
      <w:pPr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2)  Konto 998 – „Zaangażowanie wydatków budżetowych roku bieżącego”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Konto 998 służy do ewidencji prawnego zaangażowania wydatków budżetowych </w:t>
      </w:r>
      <w:r w:rsidR="00B1471B">
        <w:rPr>
          <w:rFonts w:ascii="Arial" w:hAnsi="Arial" w:cs="Arial"/>
          <w:sz w:val="24"/>
          <w:szCs w:val="24"/>
        </w:rPr>
        <w:t xml:space="preserve">danego roku budżetowego oraz niewygasających wydatków budżetowych </w:t>
      </w:r>
      <w:r w:rsidRPr="0077051B">
        <w:rPr>
          <w:rFonts w:ascii="Arial" w:hAnsi="Arial" w:cs="Arial"/>
          <w:sz w:val="24"/>
          <w:szCs w:val="24"/>
        </w:rPr>
        <w:t xml:space="preserve"> ujętych do realizacji w danym roku budżetowym.</w:t>
      </w:r>
    </w:p>
    <w:p w:rsidR="0003167E" w:rsidRPr="0077051B" w:rsidRDefault="0003167E" w:rsidP="00F457B4">
      <w:pPr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998 ujmuje się:</w:t>
      </w:r>
    </w:p>
    <w:p w:rsidR="0003167E" w:rsidRPr="0077051B" w:rsidRDefault="0003167E" w:rsidP="00F457B4">
      <w:pPr>
        <w:numPr>
          <w:ilvl w:val="0"/>
          <w:numId w:val="18"/>
        </w:numPr>
        <w:tabs>
          <w:tab w:val="left" w:pos="720"/>
          <w:tab w:val="right" w:pos="9072"/>
        </w:tabs>
        <w:suppressAutoHyphens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równowartość sfinansowanych wydatków budżetowych w danym roku budżetowym </w:t>
      </w:r>
      <w:r w:rsidRPr="0077051B">
        <w:rPr>
          <w:rFonts w:ascii="Arial" w:hAnsi="Arial" w:cs="Arial"/>
          <w:sz w:val="24"/>
          <w:szCs w:val="24"/>
        </w:rPr>
        <w:tab/>
      </w:r>
    </w:p>
    <w:p w:rsidR="0003167E" w:rsidRPr="0077051B" w:rsidRDefault="0003167E" w:rsidP="00F457B4">
      <w:pPr>
        <w:numPr>
          <w:ilvl w:val="0"/>
          <w:numId w:val="18"/>
        </w:numPr>
        <w:tabs>
          <w:tab w:val="left" w:pos="720"/>
          <w:tab w:val="right" w:pos="9072"/>
        </w:tabs>
        <w:suppressAutoHyphens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równowartość zaangażowanych wydatków, które będą obciążały wydatki roku następnego.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Ma konta 998 ujmuje się zaangażowanie wydatków, czyli wartość umów, decyzji i innych postanowień, których wykonanie spowoduje konieczność dokonania wydatków budżetowych w roku bieżącym.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Ewidencja szczegółowa do konta 998 prowadzona jest według podziałek klasyfikacyjnych planu finansowego, z wyodrębnieniem planu niewygasających wydatków.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koniec roku kont 998 nie wykazuje salda.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3)  Konto 999 – „Zaangażowanie wydatków budżetowych przyszłych lat”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Konto 999 służy do ewidencji prawnego zaangażowania wydatków budżetowych przyszłych lat oraz niewygasających wydatków, które mają być zrealizowane w latach następnych.</w:t>
      </w:r>
    </w:p>
    <w:p w:rsidR="0003167E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Na stronie Wn konta 999 ujmuje się równowartość zaangażowanych wydatków budżetowych w latach poprzednich, a obciążających plan finansowy roku bieżącego jednostki budżetowej lub plan finansowy niewygasających wydatków, przeznaczonych do realizacji w roku bieżącym.</w:t>
      </w:r>
    </w:p>
    <w:p w:rsidR="00F457B4" w:rsidRPr="0077051B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Ewidencja szczegółowa do konta 999 prowadzona jest według podziałek klasyfikacyjnych planu finansowego , z wyodrębnieniem planu </w:t>
      </w:r>
      <w:r w:rsidR="00F457B4" w:rsidRPr="0077051B">
        <w:rPr>
          <w:rFonts w:ascii="Arial" w:hAnsi="Arial" w:cs="Arial"/>
          <w:sz w:val="24"/>
          <w:szCs w:val="24"/>
        </w:rPr>
        <w:t>Na stronie Ma konta 999 ujmuje się wysokość zaangażowanych wydatków lat przyszłych.</w:t>
      </w:r>
    </w:p>
    <w:p w:rsidR="0003167E" w:rsidRPr="0077051B" w:rsidRDefault="0003167E" w:rsidP="0064634B">
      <w:pPr>
        <w:tabs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>niewygasających wydatków.</w:t>
      </w:r>
    </w:p>
    <w:p w:rsidR="0003167E" w:rsidRDefault="0003167E" w:rsidP="00F457B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Na koniec roku konto 999 może wykazywać saldo Ma oznaczające zaangażowanie wydatków budżetowych lat przyszłych. </w:t>
      </w:r>
    </w:p>
    <w:p w:rsidR="0004086C" w:rsidRDefault="0004086C" w:rsidP="0064634B">
      <w:pPr>
        <w:tabs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7B345C" w:rsidRPr="0077051B" w:rsidRDefault="007B345C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3D477E" w:rsidRPr="0077051B" w:rsidRDefault="003D477E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7051B">
        <w:rPr>
          <w:rFonts w:ascii="Arial" w:hAnsi="Arial" w:cs="Arial"/>
          <w:b/>
          <w:sz w:val="24"/>
          <w:szCs w:val="24"/>
        </w:rPr>
        <w:t>Wykaz zbioru danych tworzących księgi rachunkowe na komputerowych nośnikach danych z określeniem ich struktury i powiązania z analityką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434"/>
      </w:tblGrid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Nr konta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Nazwa i funkcja konta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051B">
              <w:rPr>
                <w:rFonts w:ascii="Arial" w:hAnsi="Arial" w:cs="Arial"/>
                <w:b/>
                <w:sz w:val="24"/>
                <w:szCs w:val="24"/>
              </w:rPr>
              <w:t>Ewidencja analityczna - forma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Środki trwałe – ewidencja stanu początkowego oraz zmian w ś</w:t>
            </w:r>
            <w:r w:rsidR="00905CB9">
              <w:rPr>
                <w:rFonts w:ascii="Arial" w:hAnsi="Arial" w:cs="Arial"/>
                <w:sz w:val="24"/>
                <w:szCs w:val="24"/>
              </w:rPr>
              <w:t>rodkach trwałych (powyżej 10.000</w:t>
            </w:r>
            <w:r w:rsidRPr="0077051B">
              <w:rPr>
                <w:rFonts w:ascii="Arial" w:hAnsi="Arial" w:cs="Arial"/>
                <w:sz w:val="24"/>
                <w:szCs w:val="24"/>
              </w:rPr>
              <w:t>zł)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Książka środków trwałych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4536" w:type="dxa"/>
          </w:tcPr>
          <w:p w:rsidR="003D477E" w:rsidRPr="0077051B" w:rsidRDefault="003D477E" w:rsidP="00905CB9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Pozostałe środki trwałe – ewidencja pozostałych środków trwałych (od 200 zł do </w:t>
            </w:r>
            <w:r w:rsidR="00905CB9">
              <w:rPr>
                <w:rFonts w:ascii="Arial" w:hAnsi="Arial" w:cs="Arial"/>
                <w:sz w:val="24"/>
                <w:szCs w:val="24"/>
              </w:rPr>
              <w:t>10.000</w:t>
            </w:r>
            <w:r w:rsidRPr="0077051B">
              <w:rPr>
                <w:rFonts w:ascii="Arial" w:hAnsi="Arial" w:cs="Arial"/>
                <w:sz w:val="24"/>
                <w:szCs w:val="24"/>
              </w:rPr>
              <w:t xml:space="preserve"> zł)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Księga inwentarzowa</w:t>
            </w:r>
          </w:p>
        </w:tc>
      </w:tr>
      <w:tr w:rsidR="00E823AC" w:rsidRPr="0077051B" w:rsidTr="00F31E7D">
        <w:tc>
          <w:tcPr>
            <w:tcW w:w="1242" w:type="dxa"/>
          </w:tcPr>
          <w:p w:rsidR="00E823AC" w:rsidRDefault="00E823AC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  <w:p w:rsidR="00E823AC" w:rsidRPr="0077051B" w:rsidRDefault="00E823AC" w:rsidP="00646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23AC" w:rsidRPr="0077051B" w:rsidRDefault="00E823AC" w:rsidP="00905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Zbiory biblioteczne</w:t>
            </w:r>
          </w:p>
        </w:tc>
        <w:tc>
          <w:tcPr>
            <w:tcW w:w="3434" w:type="dxa"/>
          </w:tcPr>
          <w:p w:rsidR="00E823AC" w:rsidRPr="0077051B" w:rsidRDefault="00E823AC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 inwentarzowa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Wartości niematerialne i prawne – ewidencja stanu początkowego oraz zmian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Księga inwentarzowa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Umorzenie środków trwałych oraz wartości niematerialnych i prawnych – ewidencja umorzeń środków trwałych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Książka środków trwałych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Umorzenie środków trwałych oraz wartości niematerialnych i prawnych </w:t>
            </w:r>
            <w:r w:rsidR="00E823AC">
              <w:rPr>
                <w:rFonts w:ascii="Arial" w:hAnsi="Arial" w:cs="Arial"/>
                <w:sz w:val="24"/>
                <w:szCs w:val="24"/>
              </w:rPr>
              <w:t>, ksiązek</w:t>
            </w:r>
            <w:r w:rsidRPr="0077051B">
              <w:rPr>
                <w:rFonts w:ascii="Arial" w:hAnsi="Arial" w:cs="Arial"/>
                <w:sz w:val="24"/>
                <w:szCs w:val="24"/>
              </w:rPr>
              <w:t>– umorzenie 100% wartości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Księga inwentarzowa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Rachunek bankowy – ewidencja stanu środków budżetowych oraz obrotów na rachunku bankowym jednostki budżetowej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wyciągi bankowe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Rachunek środków funduszy specjalnego przeznaczenia – ewidencja zakładowego funduszu świadczeń socjalnych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wyciągi bankowe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odbiorcami i dostawcami – ewidencja rozrachunków z tytułu dostaw i usług</w:t>
            </w:r>
          </w:p>
        </w:tc>
        <w:tc>
          <w:tcPr>
            <w:tcW w:w="3434" w:type="dxa"/>
          </w:tcPr>
          <w:p w:rsidR="003D477E" w:rsidRPr="0077051B" w:rsidRDefault="007459FC" w:rsidP="006463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Analitykę stanowią tabulogramy</w:t>
            </w:r>
            <w:r w:rsidR="007705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77E" w:rsidRPr="0077051B">
              <w:rPr>
                <w:rFonts w:ascii="Arial" w:hAnsi="Arial" w:cs="Arial"/>
                <w:sz w:val="24"/>
                <w:szCs w:val="24"/>
              </w:rPr>
              <w:t xml:space="preserve">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Należności z tytułu dochodów budżetowych – ewidencja dochodów budżetowych, których termin płatności przypada na dany rok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Rozliczenie dochodów budżetowych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Rozliczenie wydatków budżetowych – rozliczenie jednostki budżetowej ze środków budżetowych otrzymanych na pokrycie wydatków budżetowych 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budżetami – ewidencja rozrachunków z budżetem państwa i budżetami gmin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>229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rozrachunki publiczno-prawne – ewidencja rozrachunków publiczno-prawnych z ZUS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Rozrachunki z tytułu wynagrodzeń – ewidencja rozrachunków z pracownikami jednostki i innymi osobami fizycznymi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Analitykę stanowią listy płac </w:t>
            </w:r>
            <w:r w:rsidR="00905CB9">
              <w:rPr>
                <w:rFonts w:ascii="Arial" w:hAnsi="Arial" w:cs="Arial"/>
                <w:sz w:val="24"/>
                <w:szCs w:val="24"/>
              </w:rPr>
              <w:t>i kartoteki zarobkowe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rozrachunki z pracownikami – ewidencja należności i zobowiązań wobec pracowników z innych tytułów niż wynagrodzenia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Pozostałe rozrachunki – ewidencja należności i roszczeń, roszczenia sporne, mylne obciążenia i uznania rachunków bankowych 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Odpisy aktualizujące należności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Zestawienie tabelaryczne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Materiały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Amortyzacja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Zużycie materiałów i energii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Usługi obce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Podatki i opłaty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404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 xml:space="preserve">Wynagrodzenia 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Ubezpieczenia społeczne i inne świadczenia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409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koszty rodzajowe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Rozliczenie kosztów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Rozliczenia międzyokresowe kosztów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z tytułu dochodów budżetowych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Przychody finansowe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751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Koszty finansowe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przychody operacyjne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761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Pozostałe koszty operacyjne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Fundusz jednostki – ewidencja zwiększeń i zmniejszeń funduszu jednostki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lastRenderedPageBreak/>
              <w:t>851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Zakładowy fundusz świadczeń socjalnych – ewidencja stanu zwiększeń i zmniejszeń ZFŚS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  <w:tr w:rsidR="003D477E" w:rsidRPr="0077051B" w:rsidTr="00F31E7D">
        <w:tc>
          <w:tcPr>
            <w:tcW w:w="1242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  <w:tc>
          <w:tcPr>
            <w:tcW w:w="4536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Wynik finansowy</w:t>
            </w:r>
          </w:p>
        </w:tc>
        <w:tc>
          <w:tcPr>
            <w:tcW w:w="3434" w:type="dxa"/>
          </w:tcPr>
          <w:p w:rsidR="003D477E" w:rsidRPr="0077051B" w:rsidRDefault="003D477E" w:rsidP="0064634B">
            <w:pPr>
              <w:rPr>
                <w:rFonts w:ascii="Arial" w:hAnsi="Arial" w:cs="Arial"/>
                <w:sz w:val="24"/>
                <w:szCs w:val="24"/>
              </w:rPr>
            </w:pPr>
            <w:r w:rsidRPr="0077051B">
              <w:rPr>
                <w:rFonts w:ascii="Arial" w:hAnsi="Arial" w:cs="Arial"/>
                <w:sz w:val="24"/>
                <w:szCs w:val="24"/>
              </w:rPr>
              <w:t>Analitykę stanowią tabulogramy komputerowe</w:t>
            </w:r>
          </w:p>
        </w:tc>
      </w:tr>
    </w:tbl>
    <w:p w:rsidR="003D477E" w:rsidRPr="0077051B" w:rsidRDefault="003D477E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477E" w:rsidRPr="0077051B" w:rsidRDefault="003D477E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3D477E" w:rsidP="0064634B">
      <w:pPr>
        <w:spacing w:line="360" w:lineRule="auto"/>
        <w:rPr>
          <w:rFonts w:ascii="Arial" w:hAnsi="Arial" w:cs="Arial"/>
          <w:sz w:val="24"/>
          <w:szCs w:val="24"/>
        </w:rPr>
      </w:pPr>
      <w:r w:rsidRPr="007705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D760F" w:rsidRDefault="000D760F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4086C" w:rsidRPr="0077051B" w:rsidRDefault="0004086C" w:rsidP="006463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spacing w:line="360" w:lineRule="auto"/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p w:rsidR="000D760F" w:rsidRPr="0077051B" w:rsidRDefault="000D760F" w:rsidP="0064634B">
      <w:pPr>
        <w:rPr>
          <w:rFonts w:ascii="Arial" w:hAnsi="Arial" w:cs="Arial"/>
          <w:sz w:val="24"/>
          <w:szCs w:val="24"/>
        </w:rPr>
      </w:pPr>
    </w:p>
    <w:sectPr w:rsidR="000D760F" w:rsidRPr="0077051B" w:rsidSect="002C3D4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79" w:rsidRDefault="002C6579">
      <w:r>
        <w:separator/>
      </w:r>
    </w:p>
  </w:endnote>
  <w:endnote w:type="continuationSeparator" w:id="0">
    <w:p w:rsidR="002C6579" w:rsidRDefault="002C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3C" w:rsidRDefault="00997D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55A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5A3C" w:rsidRDefault="00255A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3C" w:rsidRDefault="00997D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55A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5E8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55A3C" w:rsidRDefault="00255A3C" w:rsidP="00E823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79" w:rsidRDefault="002C6579">
      <w:r>
        <w:separator/>
      </w:r>
    </w:p>
  </w:footnote>
  <w:footnote w:type="continuationSeparator" w:id="0">
    <w:p w:rsidR="002C6579" w:rsidRDefault="002C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7CAF1A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114986"/>
    <w:multiLevelType w:val="hybridMultilevel"/>
    <w:tmpl w:val="F970ED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9130EA"/>
    <w:multiLevelType w:val="singleLevel"/>
    <w:tmpl w:val="9AD466CA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6FC0EF5"/>
    <w:multiLevelType w:val="hybridMultilevel"/>
    <w:tmpl w:val="AF9A5E3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8708C1"/>
    <w:multiLevelType w:val="hybridMultilevel"/>
    <w:tmpl w:val="5BE6DA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9D30A4"/>
    <w:multiLevelType w:val="hybridMultilevel"/>
    <w:tmpl w:val="2BFA6B0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3F6BE1"/>
    <w:multiLevelType w:val="singleLevel"/>
    <w:tmpl w:val="D80AB02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05820A3"/>
    <w:multiLevelType w:val="hybridMultilevel"/>
    <w:tmpl w:val="6884103E"/>
    <w:lvl w:ilvl="0" w:tplc="3796C1C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B3700"/>
    <w:multiLevelType w:val="hybridMultilevel"/>
    <w:tmpl w:val="50A65DD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C73DF4"/>
    <w:multiLevelType w:val="singleLevel"/>
    <w:tmpl w:val="EA42A2EE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DE0C9B"/>
    <w:multiLevelType w:val="hybridMultilevel"/>
    <w:tmpl w:val="5560D0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DA7706"/>
    <w:multiLevelType w:val="hybridMultilevel"/>
    <w:tmpl w:val="4D843E0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13301"/>
    <w:multiLevelType w:val="singleLevel"/>
    <w:tmpl w:val="8282194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3E1728A2"/>
    <w:multiLevelType w:val="singleLevel"/>
    <w:tmpl w:val="EDD0EFE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01476BE"/>
    <w:multiLevelType w:val="hybridMultilevel"/>
    <w:tmpl w:val="5704CA5E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722A8"/>
    <w:multiLevelType w:val="hybridMultilevel"/>
    <w:tmpl w:val="77E612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C372C"/>
    <w:multiLevelType w:val="hybridMultilevel"/>
    <w:tmpl w:val="655C18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47709"/>
    <w:multiLevelType w:val="hybridMultilevel"/>
    <w:tmpl w:val="3E76A8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FB1254"/>
    <w:multiLevelType w:val="singleLevel"/>
    <w:tmpl w:val="A62C885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46E414D"/>
    <w:multiLevelType w:val="hybridMultilevel"/>
    <w:tmpl w:val="177433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E04A9"/>
    <w:multiLevelType w:val="hybridMultilevel"/>
    <w:tmpl w:val="1584AA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487FAF"/>
    <w:multiLevelType w:val="hybridMultilevel"/>
    <w:tmpl w:val="7E18048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481364"/>
    <w:multiLevelType w:val="hybridMultilevel"/>
    <w:tmpl w:val="84CC01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12949"/>
    <w:multiLevelType w:val="hybridMultilevel"/>
    <w:tmpl w:val="FF74C2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A35D27"/>
    <w:multiLevelType w:val="hybridMultilevel"/>
    <w:tmpl w:val="80F8532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3"/>
  </w:num>
  <w:num w:numId="5">
    <w:abstractNumId w:val="17"/>
  </w:num>
  <w:num w:numId="6">
    <w:abstractNumId w:val="26"/>
  </w:num>
  <w:num w:numId="7">
    <w:abstractNumId w:val="20"/>
  </w:num>
  <w:num w:numId="8">
    <w:abstractNumId w:val="4"/>
  </w:num>
  <w:num w:numId="9">
    <w:abstractNumId w:val="8"/>
  </w:num>
  <w:num w:numId="10">
    <w:abstractNumId w:val="23"/>
  </w:num>
  <w:num w:numId="11">
    <w:abstractNumId w:val="7"/>
  </w:num>
  <w:num w:numId="12">
    <w:abstractNumId w:val="27"/>
  </w:num>
  <w:num w:numId="13">
    <w:abstractNumId w:val="11"/>
  </w:num>
  <w:num w:numId="14">
    <w:abstractNumId w:val="22"/>
  </w:num>
  <w:num w:numId="15">
    <w:abstractNumId w:val="19"/>
  </w:num>
  <w:num w:numId="16">
    <w:abstractNumId w:val="24"/>
  </w:num>
  <w:num w:numId="17">
    <w:abstractNumId w:val="25"/>
  </w:num>
  <w:num w:numId="18">
    <w:abstractNumId w:val="2"/>
  </w:num>
  <w:num w:numId="19">
    <w:abstractNumId w:val="3"/>
  </w:num>
  <w:num w:numId="20">
    <w:abstractNumId w:val="16"/>
  </w:num>
  <w:num w:numId="21">
    <w:abstractNumId w:val="12"/>
  </w:num>
  <w:num w:numId="22">
    <w:abstractNumId w:val="21"/>
  </w:num>
  <w:num w:numId="23">
    <w:abstractNumId w:val="5"/>
  </w:num>
  <w:num w:numId="24">
    <w:abstractNumId w:val="5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28">
    <w:abstractNumId w:val="15"/>
  </w:num>
  <w:num w:numId="2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0F"/>
    <w:rsid w:val="00005BF7"/>
    <w:rsid w:val="00017FD3"/>
    <w:rsid w:val="0003167E"/>
    <w:rsid w:val="00035202"/>
    <w:rsid w:val="0003784C"/>
    <w:rsid w:val="0004086C"/>
    <w:rsid w:val="00044466"/>
    <w:rsid w:val="00044B0F"/>
    <w:rsid w:val="00047856"/>
    <w:rsid w:val="00063AA4"/>
    <w:rsid w:val="00065411"/>
    <w:rsid w:val="0008075A"/>
    <w:rsid w:val="000876B6"/>
    <w:rsid w:val="000947F4"/>
    <w:rsid w:val="00096CC1"/>
    <w:rsid w:val="000A5E75"/>
    <w:rsid w:val="000B0317"/>
    <w:rsid w:val="000B2511"/>
    <w:rsid w:val="000C7F16"/>
    <w:rsid w:val="000D27E6"/>
    <w:rsid w:val="000D760F"/>
    <w:rsid w:val="000D7B25"/>
    <w:rsid w:val="000D7D04"/>
    <w:rsid w:val="00100109"/>
    <w:rsid w:val="00103424"/>
    <w:rsid w:val="00105336"/>
    <w:rsid w:val="0012366C"/>
    <w:rsid w:val="001324EB"/>
    <w:rsid w:val="00132B7D"/>
    <w:rsid w:val="0013596F"/>
    <w:rsid w:val="00135EFC"/>
    <w:rsid w:val="0014076D"/>
    <w:rsid w:val="00150DA2"/>
    <w:rsid w:val="00163AA3"/>
    <w:rsid w:val="00166FBC"/>
    <w:rsid w:val="00175E1F"/>
    <w:rsid w:val="00182447"/>
    <w:rsid w:val="001877EF"/>
    <w:rsid w:val="001901E0"/>
    <w:rsid w:val="00190EA4"/>
    <w:rsid w:val="00195E86"/>
    <w:rsid w:val="00195EEF"/>
    <w:rsid w:val="0019780E"/>
    <w:rsid w:val="00197C1C"/>
    <w:rsid w:val="001A2471"/>
    <w:rsid w:val="001B255B"/>
    <w:rsid w:val="001C0549"/>
    <w:rsid w:val="001C35CC"/>
    <w:rsid w:val="001C3BD6"/>
    <w:rsid w:val="001D337E"/>
    <w:rsid w:val="001E1923"/>
    <w:rsid w:val="001E3895"/>
    <w:rsid w:val="001F00A3"/>
    <w:rsid w:val="001F11AA"/>
    <w:rsid w:val="001F3A79"/>
    <w:rsid w:val="001F4E34"/>
    <w:rsid w:val="0020358D"/>
    <w:rsid w:val="00216165"/>
    <w:rsid w:val="00225FFF"/>
    <w:rsid w:val="00226369"/>
    <w:rsid w:val="0023155B"/>
    <w:rsid w:val="00243A21"/>
    <w:rsid w:val="00245FAA"/>
    <w:rsid w:val="00255A3C"/>
    <w:rsid w:val="00265AAF"/>
    <w:rsid w:val="00276686"/>
    <w:rsid w:val="0027722A"/>
    <w:rsid w:val="00282CC0"/>
    <w:rsid w:val="002953E7"/>
    <w:rsid w:val="002B188C"/>
    <w:rsid w:val="002C3D43"/>
    <w:rsid w:val="002C6579"/>
    <w:rsid w:val="002D0220"/>
    <w:rsid w:val="002D6950"/>
    <w:rsid w:val="002E4684"/>
    <w:rsid w:val="00304F8D"/>
    <w:rsid w:val="003053FE"/>
    <w:rsid w:val="0031202D"/>
    <w:rsid w:val="003161A7"/>
    <w:rsid w:val="00321FED"/>
    <w:rsid w:val="003226F1"/>
    <w:rsid w:val="00340683"/>
    <w:rsid w:val="00344773"/>
    <w:rsid w:val="003513BA"/>
    <w:rsid w:val="003617BC"/>
    <w:rsid w:val="00362800"/>
    <w:rsid w:val="00372318"/>
    <w:rsid w:val="0037332A"/>
    <w:rsid w:val="00375738"/>
    <w:rsid w:val="00392EB2"/>
    <w:rsid w:val="003A4489"/>
    <w:rsid w:val="003B47B9"/>
    <w:rsid w:val="003D1FAA"/>
    <w:rsid w:val="003D477E"/>
    <w:rsid w:val="003E5071"/>
    <w:rsid w:val="00401FB0"/>
    <w:rsid w:val="00402764"/>
    <w:rsid w:val="00416B33"/>
    <w:rsid w:val="00420559"/>
    <w:rsid w:val="004274FD"/>
    <w:rsid w:val="00432F88"/>
    <w:rsid w:val="00451BA0"/>
    <w:rsid w:val="00452375"/>
    <w:rsid w:val="0046714D"/>
    <w:rsid w:val="0046765F"/>
    <w:rsid w:val="004703E8"/>
    <w:rsid w:val="00470659"/>
    <w:rsid w:val="00474ADD"/>
    <w:rsid w:val="004919B4"/>
    <w:rsid w:val="00491E2C"/>
    <w:rsid w:val="004A7367"/>
    <w:rsid w:val="004A7DDB"/>
    <w:rsid w:val="004B7B1B"/>
    <w:rsid w:val="004C027C"/>
    <w:rsid w:val="004D0D28"/>
    <w:rsid w:val="004E4A0F"/>
    <w:rsid w:val="004E60A7"/>
    <w:rsid w:val="004F184B"/>
    <w:rsid w:val="00547727"/>
    <w:rsid w:val="00553415"/>
    <w:rsid w:val="0056571F"/>
    <w:rsid w:val="005665A3"/>
    <w:rsid w:val="00595C9D"/>
    <w:rsid w:val="005A1469"/>
    <w:rsid w:val="005D25D8"/>
    <w:rsid w:val="005E4C49"/>
    <w:rsid w:val="005E5384"/>
    <w:rsid w:val="005E5F33"/>
    <w:rsid w:val="005F18B9"/>
    <w:rsid w:val="0060047A"/>
    <w:rsid w:val="00606821"/>
    <w:rsid w:val="006209BE"/>
    <w:rsid w:val="00626854"/>
    <w:rsid w:val="00634699"/>
    <w:rsid w:val="0064634B"/>
    <w:rsid w:val="00646C97"/>
    <w:rsid w:val="00666362"/>
    <w:rsid w:val="006678B7"/>
    <w:rsid w:val="00694BB9"/>
    <w:rsid w:val="006A1DBE"/>
    <w:rsid w:val="006A2920"/>
    <w:rsid w:val="006D26F4"/>
    <w:rsid w:val="006F7A98"/>
    <w:rsid w:val="00703FF1"/>
    <w:rsid w:val="007169A7"/>
    <w:rsid w:val="00717BD3"/>
    <w:rsid w:val="00732521"/>
    <w:rsid w:val="00735335"/>
    <w:rsid w:val="0074269E"/>
    <w:rsid w:val="00743B2D"/>
    <w:rsid w:val="007459FC"/>
    <w:rsid w:val="00745ECF"/>
    <w:rsid w:val="0075389B"/>
    <w:rsid w:val="00761B8C"/>
    <w:rsid w:val="007624C3"/>
    <w:rsid w:val="00763181"/>
    <w:rsid w:val="0077051B"/>
    <w:rsid w:val="00774270"/>
    <w:rsid w:val="0077489B"/>
    <w:rsid w:val="00780AA0"/>
    <w:rsid w:val="00782A00"/>
    <w:rsid w:val="007966D6"/>
    <w:rsid w:val="00797703"/>
    <w:rsid w:val="007A0F7B"/>
    <w:rsid w:val="007A1373"/>
    <w:rsid w:val="007B0186"/>
    <w:rsid w:val="007B2B1A"/>
    <w:rsid w:val="007B345C"/>
    <w:rsid w:val="007B3891"/>
    <w:rsid w:val="007D3B9E"/>
    <w:rsid w:val="007D3BF4"/>
    <w:rsid w:val="007E0456"/>
    <w:rsid w:val="007E78AC"/>
    <w:rsid w:val="008335C9"/>
    <w:rsid w:val="00837059"/>
    <w:rsid w:val="008644F3"/>
    <w:rsid w:val="00865D5E"/>
    <w:rsid w:val="008763A2"/>
    <w:rsid w:val="00896287"/>
    <w:rsid w:val="008E1FAB"/>
    <w:rsid w:val="008E4795"/>
    <w:rsid w:val="008E7F81"/>
    <w:rsid w:val="008F3299"/>
    <w:rsid w:val="00905CB9"/>
    <w:rsid w:val="00906A19"/>
    <w:rsid w:val="00907CC5"/>
    <w:rsid w:val="00912872"/>
    <w:rsid w:val="00916425"/>
    <w:rsid w:val="009171AA"/>
    <w:rsid w:val="00917B30"/>
    <w:rsid w:val="009351FE"/>
    <w:rsid w:val="00936222"/>
    <w:rsid w:val="009365D7"/>
    <w:rsid w:val="009401FA"/>
    <w:rsid w:val="00960AAC"/>
    <w:rsid w:val="00961E1F"/>
    <w:rsid w:val="00964FF5"/>
    <w:rsid w:val="00967802"/>
    <w:rsid w:val="009900AF"/>
    <w:rsid w:val="00997D66"/>
    <w:rsid w:val="009A0BF8"/>
    <w:rsid w:val="009A3943"/>
    <w:rsid w:val="009D051F"/>
    <w:rsid w:val="009D720E"/>
    <w:rsid w:val="009E03E5"/>
    <w:rsid w:val="009E0496"/>
    <w:rsid w:val="009E2E01"/>
    <w:rsid w:val="009F0636"/>
    <w:rsid w:val="009F1099"/>
    <w:rsid w:val="009F5749"/>
    <w:rsid w:val="009F6AA9"/>
    <w:rsid w:val="00A03892"/>
    <w:rsid w:val="00A1038E"/>
    <w:rsid w:val="00A135EF"/>
    <w:rsid w:val="00A141B3"/>
    <w:rsid w:val="00A17ED4"/>
    <w:rsid w:val="00A24339"/>
    <w:rsid w:val="00A41C32"/>
    <w:rsid w:val="00A529A0"/>
    <w:rsid w:val="00A802BB"/>
    <w:rsid w:val="00A8432C"/>
    <w:rsid w:val="00A8769D"/>
    <w:rsid w:val="00A90472"/>
    <w:rsid w:val="00A941EC"/>
    <w:rsid w:val="00AA1000"/>
    <w:rsid w:val="00AA22D7"/>
    <w:rsid w:val="00AC3878"/>
    <w:rsid w:val="00AE7488"/>
    <w:rsid w:val="00B01ECB"/>
    <w:rsid w:val="00B0695E"/>
    <w:rsid w:val="00B1471B"/>
    <w:rsid w:val="00B14B8E"/>
    <w:rsid w:val="00B21588"/>
    <w:rsid w:val="00B24AF4"/>
    <w:rsid w:val="00B27C7D"/>
    <w:rsid w:val="00B31C10"/>
    <w:rsid w:val="00B63207"/>
    <w:rsid w:val="00B67A29"/>
    <w:rsid w:val="00B711F8"/>
    <w:rsid w:val="00B73A0C"/>
    <w:rsid w:val="00B76700"/>
    <w:rsid w:val="00B76DE9"/>
    <w:rsid w:val="00B91017"/>
    <w:rsid w:val="00BC19B4"/>
    <w:rsid w:val="00BC4149"/>
    <w:rsid w:val="00BD2377"/>
    <w:rsid w:val="00BE3F30"/>
    <w:rsid w:val="00BF637E"/>
    <w:rsid w:val="00C0023C"/>
    <w:rsid w:val="00C06A73"/>
    <w:rsid w:val="00C179AF"/>
    <w:rsid w:val="00C2242E"/>
    <w:rsid w:val="00C26906"/>
    <w:rsid w:val="00C40203"/>
    <w:rsid w:val="00C50DF1"/>
    <w:rsid w:val="00C6335B"/>
    <w:rsid w:val="00C65AEC"/>
    <w:rsid w:val="00C72F7F"/>
    <w:rsid w:val="00C81162"/>
    <w:rsid w:val="00C82AFB"/>
    <w:rsid w:val="00CA3C20"/>
    <w:rsid w:val="00CB26F0"/>
    <w:rsid w:val="00CC322D"/>
    <w:rsid w:val="00CE37B5"/>
    <w:rsid w:val="00CF5214"/>
    <w:rsid w:val="00D13CC0"/>
    <w:rsid w:val="00D172E4"/>
    <w:rsid w:val="00D231A8"/>
    <w:rsid w:val="00D318FF"/>
    <w:rsid w:val="00D3498B"/>
    <w:rsid w:val="00D41223"/>
    <w:rsid w:val="00D5467B"/>
    <w:rsid w:val="00D63F7D"/>
    <w:rsid w:val="00D705BA"/>
    <w:rsid w:val="00D72610"/>
    <w:rsid w:val="00D74CA3"/>
    <w:rsid w:val="00D86B20"/>
    <w:rsid w:val="00D94BF4"/>
    <w:rsid w:val="00DA4B9B"/>
    <w:rsid w:val="00DB4933"/>
    <w:rsid w:val="00DC00DB"/>
    <w:rsid w:val="00DC6E33"/>
    <w:rsid w:val="00DC7DB0"/>
    <w:rsid w:val="00DD32CE"/>
    <w:rsid w:val="00E34446"/>
    <w:rsid w:val="00E41742"/>
    <w:rsid w:val="00E464BC"/>
    <w:rsid w:val="00E51F82"/>
    <w:rsid w:val="00E602C0"/>
    <w:rsid w:val="00E64F7B"/>
    <w:rsid w:val="00E7602F"/>
    <w:rsid w:val="00E765ED"/>
    <w:rsid w:val="00E823AC"/>
    <w:rsid w:val="00E9582C"/>
    <w:rsid w:val="00EA5AE9"/>
    <w:rsid w:val="00EA6B31"/>
    <w:rsid w:val="00EB166A"/>
    <w:rsid w:val="00EB5246"/>
    <w:rsid w:val="00ED10D9"/>
    <w:rsid w:val="00EE412C"/>
    <w:rsid w:val="00EE6100"/>
    <w:rsid w:val="00F02FE7"/>
    <w:rsid w:val="00F17238"/>
    <w:rsid w:val="00F25B2E"/>
    <w:rsid w:val="00F31E7D"/>
    <w:rsid w:val="00F36785"/>
    <w:rsid w:val="00F457B4"/>
    <w:rsid w:val="00F45F0B"/>
    <w:rsid w:val="00F5300B"/>
    <w:rsid w:val="00F572CA"/>
    <w:rsid w:val="00F65454"/>
    <w:rsid w:val="00F738A3"/>
    <w:rsid w:val="00F7404C"/>
    <w:rsid w:val="00FA20AE"/>
    <w:rsid w:val="00FA246C"/>
    <w:rsid w:val="00FA4CC2"/>
    <w:rsid w:val="00FC1415"/>
    <w:rsid w:val="00FD576D"/>
    <w:rsid w:val="00FE45D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9A6B8-EB8D-47A9-A4FF-E53EE4CA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60F"/>
  </w:style>
  <w:style w:type="paragraph" w:styleId="Nagwek1">
    <w:name w:val="heading 1"/>
    <w:basedOn w:val="Normalny"/>
    <w:next w:val="Normalny"/>
    <w:qFormat/>
    <w:rsid w:val="000D760F"/>
    <w:pPr>
      <w:keepNext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rsid w:val="000D760F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D760F"/>
    <w:pPr>
      <w:jc w:val="center"/>
    </w:pPr>
    <w:rPr>
      <w:sz w:val="24"/>
    </w:rPr>
  </w:style>
  <w:style w:type="paragraph" w:styleId="Tekstpodstawowy">
    <w:name w:val="Body Text"/>
    <w:basedOn w:val="Normalny"/>
    <w:rsid w:val="000D760F"/>
    <w:pPr>
      <w:jc w:val="both"/>
    </w:pPr>
    <w:rPr>
      <w:sz w:val="24"/>
    </w:rPr>
  </w:style>
  <w:style w:type="character" w:styleId="Odwoaniedokomentarza">
    <w:name w:val="annotation reference"/>
    <w:semiHidden/>
    <w:rsid w:val="000D760F"/>
    <w:rPr>
      <w:sz w:val="16"/>
      <w:szCs w:val="16"/>
    </w:rPr>
  </w:style>
  <w:style w:type="paragraph" w:styleId="Tekstkomentarza">
    <w:name w:val="annotation text"/>
    <w:basedOn w:val="Normalny"/>
    <w:semiHidden/>
    <w:rsid w:val="000D760F"/>
  </w:style>
  <w:style w:type="paragraph" w:styleId="Tekstdymka">
    <w:name w:val="Balloon Text"/>
    <w:basedOn w:val="Normalny"/>
    <w:semiHidden/>
    <w:rsid w:val="000D760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D760F"/>
    <w:pPr>
      <w:spacing w:line="360" w:lineRule="auto"/>
      <w:jc w:val="both"/>
    </w:pPr>
  </w:style>
  <w:style w:type="paragraph" w:styleId="Nagwek">
    <w:name w:val="header"/>
    <w:basedOn w:val="Normalny"/>
    <w:rsid w:val="000D760F"/>
    <w:pPr>
      <w:tabs>
        <w:tab w:val="center" w:pos="4536"/>
        <w:tab w:val="right" w:pos="9072"/>
      </w:tabs>
    </w:pPr>
  </w:style>
  <w:style w:type="character" w:customStyle="1" w:styleId="ZnakZnak1">
    <w:name w:val="Znak Znak1"/>
    <w:rsid w:val="000D760F"/>
    <w:rPr>
      <w:noProof w:val="0"/>
      <w:lang w:val="pl-PL" w:eastAsia="pl-PL" w:bidi="ar-SA"/>
    </w:rPr>
  </w:style>
  <w:style w:type="paragraph" w:styleId="Stopka">
    <w:name w:val="footer"/>
    <w:basedOn w:val="Normalny"/>
    <w:rsid w:val="000D760F"/>
    <w:pPr>
      <w:tabs>
        <w:tab w:val="center" w:pos="4536"/>
        <w:tab w:val="right" w:pos="9072"/>
      </w:tabs>
    </w:pPr>
  </w:style>
  <w:style w:type="character" w:customStyle="1" w:styleId="ZnakZnak">
    <w:name w:val="Znak Znak"/>
    <w:rsid w:val="000D760F"/>
    <w:rPr>
      <w:noProof w:val="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rsid w:val="000D760F"/>
    <w:rPr>
      <w:b/>
      <w:bCs/>
    </w:rPr>
  </w:style>
  <w:style w:type="character" w:customStyle="1" w:styleId="ZnakZnak2">
    <w:name w:val="Znak Znak2"/>
    <w:semiHidden/>
    <w:rsid w:val="000D760F"/>
    <w:rPr>
      <w:noProof w:val="0"/>
      <w:lang w:val="pl-PL" w:eastAsia="pl-PL" w:bidi="ar-SA"/>
    </w:rPr>
  </w:style>
  <w:style w:type="character" w:customStyle="1" w:styleId="TematkomentarzaZnak">
    <w:name w:val="Temat komentarza Znak"/>
    <w:rsid w:val="000D760F"/>
    <w:rPr>
      <w:b/>
      <w:bCs/>
      <w:noProof w:val="0"/>
      <w:lang w:val="pl-PL" w:eastAsia="pl-PL" w:bidi="ar-SA"/>
    </w:rPr>
  </w:style>
  <w:style w:type="character" w:styleId="Numerstrony">
    <w:name w:val="page number"/>
    <w:basedOn w:val="Domylnaczcionkaakapitu"/>
    <w:rsid w:val="000D760F"/>
  </w:style>
  <w:style w:type="table" w:styleId="Tabela-Siatka">
    <w:name w:val="Table Grid"/>
    <w:basedOn w:val="Standardowy"/>
    <w:rsid w:val="00EB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17BD3"/>
  </w:style>
  <w:style w:type="character" w:styleId="Odwoanieprzypisukocowego">
    <w:name w:val="endnote reference"/>
    <w:basedOn w:val="Domylnaczcionkaakapitu"/>
    <w:semiHidden/>
    <w:rsid w:val="00717BD3"/>
    <w:rPr>
      <w:vertAlign w:val="superscript"/>
    </w:rPr>
  </w:style>
  <w:style w:type="paragraph" w:customStyle="1" w:styleId="Style11">
    <w:name w:val="Style11"/>
    <w:basedOn w:val="Normalny"/>
    <w:uiPriority w:val="99"/>
    <w:rsid w:val="00163AA3"/>
    <w:pPr>
      <w:widowControl w:val="0"/>
      <w:autoSpaceDE w:val="0"/>
      <w:autoSpaceDN w:val="0"/>
      <w:adjustRightInd w:val="0"/>
      <w:spacing w:line="328" w:lineRule="exact"/>
      <w:jc w:val="both"/>
    </w:pPr>
    <w:rPr>
      <w:sz w:val="24"/>
      <w:szCs w:val="24"/>
    </w:rPr>
  </w:style>
  <w:style w:type="character" w:customStyle="1" w:styleId="FontStyle338">
    <w:name w:val="Font Style338"/>
    <w:uiPriority w:val="99"/>
    <w:rsid w:val="00163AA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4">
    <w:name w:val="Style64"/>
    <w:basedOn w:val="Normalny"/>
    <w:uiPriority w:val="99"/>
    <w:rsid w:val="00E464BC"/>
    <w:pPr>
      <w:widowControl w:val="0"/>
      <w:autoSpaceDE w:val="0"/>
      <w:autoSpaceDN w:val="0"/>
      <w:adjustRightInd w:val="0"/>
      <w:spacing w:line="324" w:lineRule="exact"/>
      <w:ind w:hanging="367"/>
      <w:jc w:val="both"/>
    </w:pPr>
    <w:rPr>
      <w:sz w:val="24"/>
      <w:szCs w:val="24"/>
    </w:rPr>
  </w:style>
  <w:style w:type="paragraph" w:customStyle="1" w:styleId="Style65">
    <w:name w:val="Style65"/>
    <w:basedOn w:val="Normalny"/>
    <w:uiPriority w:val="99"/>
    <w:rsid w:val="00C82AF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7">
    <w:name w:val="Font Style337"/>
    <w:basedOn w:val="Domylnaczcionkaakapitu"/>
    <w:uiPriority w:val="99"/>
    <w:rsid w:val="00C82AF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6">
    <w:name w:val="Style76"/>
    <w:basedOn w:val="Normalny"/>
    <w:uiPriority w:val="99"/>
    <w:rsid w:val="0077489B"/>
    <w:pPr>
      <w:widowControl w:val="0"/>
      <w:autoSpaceDE w:val="0"/>
      <w:autoSpaceDN w:val="0"/>
      <w:adjustRightInd w:val="0"/>
      <w:spacing w:line="324" w:lineRule="exact"/>
      <w:ind w:hanging="166"/>
    </w:pPr>
    <w:rPr>
      <w:sz w:val="24"/>
      <w:szCs w:val="24"/>
    </w:rPr>
  </w:style>
  <w:style w:type="paragraph" w:customStyle="1" w:styleId="Style57">
    <w:name w:val="Style57"/>
    <w:basedOn w:val="Normalny"/>
    <w:uiPriority w:val="99"/>
    <w:rsid w:val="009365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7">
    <w:name w:val="Style77"/>
    <w:basedOn w:val="Normalny"/>
    <w:uiPriority w:val="99"/>
    <w:rsid w:val="009365D7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8370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5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A3BB-DEC0-4F3D-89B5-E5D9552A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8736</Words>
  <Characters>52417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MOPS</Company>
  <LinksUpToDate>false</LinksUpToDate>
  <CharactersWithSpaces>61031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FN3</dc:creator>
  <cp:keywords/>
  <cp:lastModifiedBy>Jolanta Wcisło</cp:lastModifiedBy>
  <cp:revision>3</cp:revision>
  <cp:lastPrinted>2020-03-16T10:16:00Z</cp:lastPrinted>
  <dcterms:created xsi:type="dcterms:W3CDTF">2020-03-20T10:11:00Z</dcterms:created>
  <dcterms:modified xsi:type="dcterms:W3CDTF">2020-03-20T10:11:00Z</dcterms:modified>
</cp:coreProperties>
</file>